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DA" w:rsidRPr="00BA5EFD" w:rsidRDefault="00093ADA" w:rsidP="004156DC">
      <w:pPr>
        <w:pStyle w:val="1"/>
        <w:spacing w:before="0" w:beforeAutospacing="0" w:after="0" w:afterAutospacing="0"/>
        <w:rPr>
          <w:sz w:val="20"/>
          <w:szCs w:val="20"/>
          <w:lang w:val="en-US"/>
        </w:rPr>
      </w:pPr>
    </w:p>
    <w:p w:rsidR="00093ADA" w:rsidRPr="004E575C" w:rsidRDefault="00093ADA" w:rsidP="004156DC">
      <w:pPr>
        <w:pStyle w:val="1"/>
        <w:spacing w:before="0" w:beforeAutospacing="0" w:after="0" w:afterAutospacing="0"/>
        <w:rPr>
          <w:sz w:val="20"/>
          <w:szCs w:val="20"/>
        </w:rPr>
      </w:pPr>
      <w:r w:rsidRPr="004E575C">
        <w:rPr>
          <w:sz w:val="20"/>
          <w:szCs w:val="20"/>
        </w:rPr>
        <w:t>З початку 2021 року право на податкову знижку задекларували 7 561 громадян Дніпропетровщини</w:t>
      </w:r>
    </w:p>
    <w:p w:rsidR="00093ADA" w:rsidRPr="004E575C" w:rsidRDefault="00093ADA" w:rsidP="004156DC">
      <w:pPr>
        <w:pStyle w:val="a4"/>
        <w:spacing w:before="0" w:beforeAutospacing="0" w:after="0" w:afterAutospacing="0"/>
        <w:jc w:val="both"/>
        <w:rPr>
          <w:sz w:val="20"/>
          <w:szCs w:val="20"/>
        </w:rPr>
      </w:pPr>
      <w:r w:rsidRPr="004E575C">
        <w:rPr>
          <w:sz w:val="20"/>
          <w:szCs w:val="20"/>
        </w:rPr>
        <w:t xml:space="preserve">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Податковим кодексом України. </w:t>
      </w:r>
    </w:p>
    <w:p w:rsidR="00093ADA" w:rsidRPr="004E575C" w:rsidRDefault="00093ADA" w:rsidP="004156DC">
      <w:pPr>
        <w:pStyle w:val="a4"/>
        <w:spacing w:before="0" w:beforeAutospacing="0" w:after="0" w:afterAutospacing="0"/>
        <w:jc w:val="both"/>
        <w:rPr>
          <w:sz w:val="20"/>
          <w:szCs w:val="20"/>
        </w:rPr>
      </w:pPr>
      <w:r w:rsidRPr="004E575C">
        <w:rPr>
          <w:sz w:val="20"/>
          <w:szCs w:val="20"/>
        </w:rPr>
        <w:t xml:space="preserve">Протягом січня – вересня 2021 року 7 561 громадянин Дніпропетровського регіону задекларували право на податкову знижку. Загальна сума податку на доходи фізичних осіб, що підлягає поверненню з бюджету складає 20,5 млн гривень. </w:t>
      </w:r>
    </w:p>
    <w:p w:rsidR="00093ADA" w:rsidRPr="004E575C" w:rsidRDefault="00093ADA" w:rsidP="004156DC">
      <w:pPr>
        <w:pStyle w:val="a4"/>
        <w:spacing w:before="0" w:beforeAutospacing="0" w:after="0" w:afterAutospacing="0"/>
        <w:jc w:val="both"/>
        <w:rPr>
          <w:sz w:val="20"/>
          <w:szCs w:val="20"/>
        </w:rPr>
      </w:pPr>
      <w:r w:rsidRPr="004E575C">
        <w:rPr>
          <w:sz w:val="20"/>
          <w:szCs w:val="20"/>
        </w:rPr>
        <w:t xml:space="preserve">Нагадуємо, що скористатись податковою знижкою за 2020 рік фізичні особи – резиденти мають право по 31 грудня 2021 року (включно). </w:t>
      </w:r>
    </w:p>
    <w:p w:rsidR="00093ADA" w:rsidRPr="004E575C" w:rsidRDefault="00093ADA" w:rsidP="004156DC">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093ADA" w:rsidRPr="004E575C" w:rsidRDefault="006C5D40" w:rsidP="004156DC">
      <w:pPr>
        <w:pStyle w:val="a4"/>
        <w:spacing w:before="0" w:beforeAutospacing="0" w:after="0" w:afterAutospacing="0"/>
        <w:jc w:val="both"/>
        <w:rPr>
          <w:sz w:val="20"/>
          <w:szCs w:val="20"/>
        </w:rPr>
      </w:pPr>
      <w:hyperlink r:id="rId4" w:history="1">
        <w:r w:rsidR="00093ADA" w:rsidRPr="004E575C">
          <w:rPr>
            <w:rStyle w:val="a3"/>
            <w:sz w:val="20"/>
            <w:szCs w:val="20"/>
          </w:rPr>
          <w:t>https://dp.tax.gov.ua/</w:t>
        </w:r>
      </w:hyperlink>
      <w:r w:rsidR="00093ADA" w:rsidRPr="004E575C">
        <w:rPr>
          <w:sz w:val="20"/>
          <w:szCs w:val="20"/>
        </w:rPr>
        <w:t xml:space="preserve">; </w:t>
      </w:r>
    </w:p>
    <w:p w:rsidR="00093ADA" w:rsidRPr="004E575C" w:rsidRDefault="006C5D40" w:rsidP="004156DC">
      <w:pPr>
        <w:pStyle w:val="a4"/>
        <w:spacing w:before="0" w:beforeAutospacing="0" w:after="0" w:afterAutospacing="0"/>
        <w:jc w:val="both"/>
        <w:rPr>
          <w:sz w:val="20"/>
          <w:szCs w:val="20"/>
        </w:rPr>
      </w:pPr>
      <w:hyperlink r:id="rId5" w:history="1">
        <w:r w:rsidR="00093ADA" w:rsidRPr="004E575C">
          <w:rPr>
            <w:rStyle w:val="a3"/>
            <w:sz w:val="20"/>
            <w:szCs w:val="20"/>
          </w:rPr>
          <w:t>https://www.facebook.com/tax.dnipropetrovsk/</w:t>
        </w:r>
      </w:hyperlink>
      <w:r w:rsidR="00093ADA" w:rsidRPr="004E575C">
        <w:rPr>
          <w:sz w:val="20"/>
          <w:szCs w:val="20"/>
        </w:rPr>
        <w:t xml:space="preserve">; </w:t>
      </w:r>
    </w:p>
    <w:p w:rsidR="00093ADA" w:rsidRPr="004E575C" w:rsidRDefault="006C5D40" w:rsidP="004156DC">
      <w:pPr>
        <w:pStyle w:val="a4"/>
        <w:spacing w:before="0" w:beforeAutospacing="0" w:after="0" w:afterAutospacing="0"/>
        <w:jc w:val="both"/>
        <w:rPr>
          <w:sz w:val="20"/>
          <w:szCs w:val="20"/>
        </w:rPr>
      </w:pPr>
      <w:hyperlink r:id="rId6" w:history="1">
        <w:r w:rsidR="00093ADA" w:rsidRPr="004E575C">
          <w:rPr>
            <w:rStyle w:val="a3"/>
            <w:sz w:val="20"/>
            <w:szCs w:val="20"/>
          </w:rPr>
          <w:t>https://www.youtube.com/channel/UCIxijADr1NbFo5dhZ3mQwVA</w:t>
        </w:r>
      </w:hyperlink>
      <w:r w:rsidR="00093ADA" w:rsidRPr="004E575C">
        <w:rPr>
          <w:sz w:val="20"/>
          <w:szCs w:val="20"/>
        </w:rPr>
        <w:t xml:space="preserve"> </w:t>
      </w:r>
    </w:p>
    <w:p w:rsidR="00093ADA" w:rsidRPr="00BA5EFD" w:rsidRDefault="00093ADA"/>
    <w:p w:rsidR="00093ADA" w:rsidRPr="007573C0" w:rsidRDefault="00093ADA" w:rsidP="004156DC">
      <w:pPr>
        <w:pStyle w:val="1"/>
        <w:spacing w:before="0" w:beforeAutospacing="0" w:after="0" w:afterAutospacing="0"/>
        <w:rPr>
          <w:sz w:val="20"/>
          <w:szCs w:val="20"/>
        </w:rPr>
      </w:pPr>
      <w:r w:rsidRPr="007573C0">
        <w:rPr>
          <w:sz w:val="20"/>
          <w:szCs w:val="20"/>
        </w:rPr>
        <w:t>Одноразове (спеціальне) добровільне декларування: про реквізити бюджетного рахунку, за якими сплачується збір</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звертає увагу на наступне.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Після подання платником «Звітної»/«Звітної нової»/«Уточнюючої» одноразової (спеціальної) добровільної декларації (далі – Декларація) автоматично відкривається інтегрована картка платника за відповідною територією та в Електронному кабінеті (приватна частина) в розділі «Стан розрахунків з бюджетом» стає доступна інформація з відображенням реквізитів для сплати задекларованих сум збору з одноразового (спеціального) добровільного декларування (далі – Збір) з можливим використанням однієї із наявних платіжних систем та/або згенерованого QR-коду за кодом платежу 11011100.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При скануванні QR-коду на смартфоні користувача автоматично відкривається мобільний застосунок банку зі сформованими реквізитами рахунків для сплати Збору.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якщо платником була змінена адреса відповідно до «Звітної нової» або «Уточнюючої» Декларації платнику буде направлено повідомлення з оновленими реквізитами для сплати суми Збору.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 Електронному кабінеті забезпечено автоматичне заповнення платіжного доручення на підставі даних платника.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7"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8"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9"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4156DC" w:rsidRDefault="00093ADA"/>
    <w:p w:rsidR="00093ADA" w:rsidRPr="007573C0" w:rsidRDefault="00093ADA" w:rsidP="004156DC">
      <w:pPr>
        <w:pStyle w:val="1"/>
        <w:spacing w:before="0" w:beforeAutospacing="0" w:after="0" w:afterAutospacing="0"/>
        <w:rPr>
          <w:sz w:val="20"/>
          <w:szCs w:val="20"/>
        </w:rPr>
      </w:pPr>
      <w:r w:rsidRPr="007573C0">
        <w:rPr>
          <w:sz w:val="20"/>
          <w:szCs w:val="20"/>
        </w:rPr>
        <w:t>Щодо застосування РРО/ПРРО платниками єдиного податку другої – четвертої груп</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що відповідно до пункту 61 підрозділу 10 Розділу ХХ «ПЕРЕХІДНІ ПОЛОЖЕННЯ» Податкового кодексу України з 01 січня 2021 року до 01 січня 2022 року реєстратори розрахункових операцій та/або програмні реєстратори розрахункових операцій не застосовуються платниками єдиного податку другої – четвертої груп (фізичними особами-підприємцями),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01 січня податкового (звітного) року, незалежно від обраного виду діяльності, крім тих, які здійснюють: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реалізацію технічно складних побутових товарів, що підлягають гарантійному ремонту;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реалізацію лікарських засобів, виробів медичного призначення та надання платних послуг у сфері охорони здоров’я;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перевищення платником єдиного податку другої – четвертої груп (фізичною особою-підприємцем) у календарному році обсягу доходу, що не перевищує 220 розмірів мінімальної заробітної плати, встановленої законом на 01 січня податкового (звітного) року, застосування реєстратора розрахункових операцій та/або програмного реєстратора розрахункових операцій для такого платника єдиного податку є обов’язковим. Застосування реєстратора розрахункових операцій та/або програмного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Враховуючи викладене вище, інформуємо, що з  01 січня 2022 року значно розширюється коло суб’єктів господарювання (фізичних осіб-підприємців), якими мають застосовуватись реєстратори розрахункових операцій та/або програмні реєстратори розрахункових операцій.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Звертаємо увагу на необхідності завчасної реєстрації реєстраторів розрахункових операцій та/або програмних реєстраторів розрахункових операцій у контролюючих органах з метою дотримання вимог чинного законодавства України.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Інформація розміщена на офіційному вебпорталі ДПС України за посиланням </w:t>
      </w:r>
    </w:p>
    <w:p w:rsidR="00093ADA" w:rsidRPr="007573C0" w:rsidRDefault="006C5D40" w:rsidP="004156DC">
      <w:pPr>
        <w:pStyle w:val="a4"/>
        <w:spacing w:before="0" w:beforeAutospacing="0" w:after="0" w:afterAutospacing="0"/>
        <w:jc w:val="both"/>
        <w:rPr>
          <w:sz w:val="20"/>
          <w:szCs w:val="20"/>
        </w:rPr>
      </w:pPr>
      <w:hyperlink r:id="rId10" w:history="1">
        <w:r w:rsidR="00093ADA" w:rsidRPr="007573C0">
          <w:rPr>
            <w:rStyle w:val="a3"/>
            <w:b/>
            <w:bCs/>
            <w:sz w:val="20"/>
            <w:szCs w:val="20"/>
          </w:rPr>
          <w:t>https://tax.gov.ua/nove-pro-podatki--novini-/511073.html</w:t>
        </w:r>
      </w:hyperlink>
      <w:r w:rsidR="00093ADA"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1"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2"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3"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p w:rsidR="00093ADA" w:rsidRPr="007573C0" w:rsidRDefault="00093ADA" w:rsidP="004156DC">
      <w:pPr>
        <w:pStyle w:val="1"/>
        <w:spacing w:before="0" w:beforeAutospacing="0" w:after="0" w:afterAutospacing="0"/>
        <w:rPr>
          <w:sz w:val="20"/>
          <w:szCs w:val="20"/>
        </w:rPr>
      </w:pPr>
      <w:r w:rsidRPr="007573C0">
        <w:rPr>
          <w:sz w:val="20"/>
          <w:szCs w:val="20"/>
        </w:rPr>
        <w:t>ФОП, яка є найманою особою та отримує дохід у формі заробітної плати має право на податкову знижку</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повідомляє, що 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Норми визначені п. п. 14.1.170 п. 14.1 ст. 14 Податкового кодексу України від (далі – ПКУ) 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п. п. 14.1.48 п.14.1 ст.14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Порядок застосування податкової знижки передбачений ст.166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Підпунктом 166.4.2 п. 166.4 ст. 166 ПКУ передбачено, що 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 164.6 ст. 164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Враховуючи викладене, право на податкову знижку має фізична особа-підприємець, яка є найманою особою, виключно до доходів, одержаних протягом року у вигляді заробітної плати.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4"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5" w:history="1">
        <w:r w:rsidR="00093ADA" w:rsidRPr="007573C0">
          <w:rPr>
            <w:rStyle w:val="a3"/>
            <w:sz w:val="20"/>
            <w:szCs w:val="20"/>
          </w:rPr>
          <w:t>https://www.facebook.com/tax.dnipropetrovsk/</w:t>
        </w:r>
      </w:hyperlink>
      <w:r w:rsidR="00093ADA" w:rsidRPr="007573C0">
        <w:rPr>
          <w:sz w:val="20"/>
          <w:szCs w:val="20"/>
        </w:rPr>
        <w:t xml:space="preserve">; </w:t>
      </w:r>
    </w:p>
    <w:p w:rsidR="00093ADA" w:rsidRPr="00BA5EFD" w:rsidRDefault="006C5D40" w:rsidP="004156DC">
      <w:pPr>
        <w:pStyle w:val="a4"/>
        <w:spacing w:before="0" w:beforeAutospacing="0" w:after="0" w:afterAutospacing="0"/>
        <w:jc w:val="both"/>
        <w:rPr>
          <w:sz w:val="20"/>
          <w:szCs w:val="20"/>
        </w:rPr>
      </w:pPr>
      <w:hyperlink r:id="rId16"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Який термін зберігання у платника архіву файлів звітності по єдиному внеску, поданої до контролюючих органів в електронному вигляді?</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що згідно з ст. 13 розділу І Закону України від 22 травня 2003 року № 851-IV «Про електронні документи та електронний документообіг» cтрок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Разом з тим статтею 8 Закону України від 16 липня 1999 року № 996-XІV «Про бухгалтерський облік та фінансову звітність в Україні» передбачено, що на власника або уповноважений орган (посадову особу), який здійснює керівництво підприємством відповідно до законодавства та установчих документів, покладено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із змінами і доповненнями (далі - Перелік № 578/5).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Відповідно до ст. 678 п. 7.1 глави 7 розділу І Переліку № 578/5 строк зберігання відомостей про застраховану особу, що підлягає загальнообов’язковому державному соціальному страхуванню (з 2011 року – Звіт про суми нарахованої заробітної плати застрахованих осіб та суми нарахованих страхових внесків на загальнообов’язкове державне пенсійне страхування, єдиного внеску на загальнообов’язкове державне соціальне страхування (персоніфікований облік)) становить 75 років.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7"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8"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19"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BA5EFD"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 xml:space="preserve">До уваги платників, які використовують кваліфікований сертифікат відкритого ключа Кваліфікованого надавача ЕДП ІДД ДПС!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Головне управління ДПС у Дніпропетровській області повідомляє, що Роздрукувати кваліфікований сертифікат відкритого ключа можливо за допомогою програмного забезпечення «ІІТ Користувач ЦСК-1» (далі – Програма), яке завантажується на офіційному інформаційному ресурсі Кваліфікованого надавача електронних довірчих послуг ІДД ДПС (</w:t>
      </w:r>
      <w:hyperlink r:id="rId20" w:history="1">
        <w:r w:rsidRPr="007573C0">
          <w:rPr>
            <w:rStyle w:val="a3"/>
            <w:sz w:val="20"/>
            <w:szCs w:val="20"/>
          </w:rPr>
          <w:t>http://www.acskidd.gov.ua</w:t>
        </w:r>
      </w:hyperlink>
      <w:r w:rsidRPr="007573C0">
        <w:rPr>
          <w:sz w:val="20"/>
          <w:szCs w:val="20"/>
        </w:rPr>
        <w:t xml:space="preserve">) за посиланням: Головна/«Отримання електронних довірчих послуг, у тому числі для програмних РРО»/«Програмне забезпечення»/«Засіб кваліфікованого електронного підпису чи печатки – «ІІТ Користувач ЦСК-1»/«Інсталяційний пакет «ІІТ Користувач ЦСК-1.3.1 (версія:1.3.1.46)». Після завантаження Програми необхідно: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 в меню Програми натиснути посилання «Переглянути сертифікати»;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2) із наведеного переліку сертифікатів необхідно вибрати свій сертифікат або додати його за допомогою кнопки «Імпортувати»;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3) натиснути на вибраний сертифікат подвійним кліком лівої кнопки миші, обрати пункт «Детальна інформація»;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4) у вікні, яке з’явилось, натиснути праву кнопку миші та обрати пункт «Друкувати».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1"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2"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3"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4156DC"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Фізична особа – громадянин, яка не є суб’єктом господарювання, може отримати інформацію про наявність (відсутність) у неї податкового боргу</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звертає увагу, що статтею 67 Конституції України від 28 червня 1996 року № 254к/96-ВР зі змінами та доповненнями визначено обов’язок кожного сплачувати податки і збори в порядку і розмірах, встановлених законом.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Відповідно до п. 15.1 ст. 15 Податкового кодексу України (далі – ПКУ) 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ПКУ або податковими законами, і на яких покладено обов’язок із сплати податків та зборів згідно з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Підпунктом 14.1.175 п. 14.1 ст. 14 ПКУ встановлено, що податковий борг – це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Абзацами першим – другим п. 1 підрозділу 1 розділу ІІ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від 12.01.2021 № 5 (далі – Порядок № 5) визначено, що з метою обліку нарахованих і сплачених, повернутих та відшкодованих сум платежів територіальними органами ДПС відкриваються інтегровані картки платника (далі – ІКП) за кожним платником та кожним видом платежу, які мають сплачуватися такими платниками на рахунки, відкриті в розрізі адміністративно-територіальних одиниць.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ІКП містить інформацію про облікові операції та облікові показники, які характеризують стан розрахунків платника з бюджетами та фондами загальнообов’язкового державного соціального і пенсійного страхування за відповідним видом платежу та відповідною адміністративно-територіальною одиницею.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Згідно з п. 2 підрозділу 1 розділу ІІ Порядку № 5 ІКП відкривається, зокрема: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за місцем проживання осіб (фізичних осіб, фізичних осіб - підприємців, самозайнятих осіб) (основне місце обліку);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проводиться діяльність (неосновне місце обліку).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Інформація про дату вручення платнику податку податкового повідомлення-рішення вноситься до інформаційної системи структурними підрозділами територіальних органів ДПС, якими сформовані податкові повідомлення-рішення, не пізніше дня, наступного за днем отримання такої інформації (п. 2 підрозділу 12 розділу ІV Порядку № 5).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Після внесення до інформаційної системи інформації про дату вручення податкового повідомлення-рішення облікові показники щодо нарахованих територіальним органом ДПС податкових зобов’язань з податку на нерухоме майно, відмінне від земельної ділянки, транспортного податку та плати за землю відображаються в ІКП датою граничного строку сплати (60 календарних днів з дня вручення платнику податкового повідомлення-рішення) (абзац перший п. 1 підрозділу 13 розділу ІV Порядку № 5).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При цьому відповідно до п. 42 прим. 1.2 ст. 42 прим. 1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єдиного внеску на загальнообов’язкове державне соціальне страхування </w:t>
      </w:r>
      <w:r w:rsidRPr="007573C0">
        <w:rPr>
          <w:sz w:val="20"/>
          <w:szCs w:val="20"/>
        </w:rPr>
        <w:lastRenderedPageBreak/>
        <w:t xml:space="preserve">(далі – єдиний внесок), здійсненням податкового контролю, у тому числі дані оперативного обліку податків, зборів, єдиного внеску (у тому числі дані ІКП).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Інформацію про наявність (відсутність) податкового боргу платник може отримати, скориставшись Електронним кабінетом, вхід до якого здійснюється за адресою: https://cabinet.tax.gov.ua, а також через офіційний вебпортал ДПС.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Вхід до приватної частини (особистого кабінету)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або через Інтегровану систему електронної ідентифікації – id.gov.ua (MobileID та BankID).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приватній частині Електронного кабінету режим «Стан розрахунків з бюджетом» надає користувачу Електронного кабінету доступ до своїх особових рахунків зі сплати податків, зборів та інших платежів (дані ІКП).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Даний режим надає можливість переглянути зведену інформацію по кожному виду платежу, зокрема: орган ДПС, назва податку (платежу), платіж (код), бюджетний рахунок. При цьому, червоним кольором позначено суми заборгованості перед бюджетом.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Також, даний режим надає можливість переглянути інформацію по кожному виду податку (платежу) про нарахування за податковими зобов’язаннями, сплату та повернення з бюджету, пеню, переплату та залишок несплаченої пені, а також вивантажити її в форматі ХLS.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Крім цього, згідно з п. 59.1 ст. 59 ПКУ у разі коли у платника податків виник податковий борг, контролюючий орган надсилає (вручає) йому податкову вимогу в порядку, визначеному для надсилання (вручення) податкового повідомлення-рішення.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Строк давності, визначений п. 102.4 ст. 102 ПКУ для стягнення податкового боргу, у такому випадку розпочинається не раніше дня виникнення податкового боргу у сумі, що перевищує сто вісімдесят неоподатковуваних мінімумів доходів громадян.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Відповідно до абзацу першого п. 59.3 ст. 59 ПКУ податкова вимога надсилається не раніше першого робочого дня після закінчення граничного строку сплати суми грошового зобов’язання.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Абзацами першим і четвертим п. 6 розділу IV Порядку направлення податковими органами податкових вимог платникам податків, затвердженого наказом Міністерства фінансів України від 30.06.2017 № 610 зі змінами та доповненнями (далі – Порядок № 610) визначено, що податкова вимога вважається належним чином надісланою (врученою) платнику податків, якщо вона надіслана за адресою (місцезнаходженням, податковою адресою, а для фізичної особи (її законного чи уповноваженого представника) – місцем проживання або останнього відомого місцезнаходження) платника податків рекомендованим листом з повідомленням про вручення або особисто вручена платнику податків (його законному чи уповноваженому представникові), або надіслана в Електронний кабінет засобами інформаційно-телекомунікаційної системи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якщо пошта не може вручити платнику податків податкову вимогу через відсутність за місцезнаходженням посадових осіб платника податків, їх відмову прийняти документ, незнаходження фактичного місця розташування (місцезнаходження) платника податків або з інших причин, така податкова вимога вважається врученою платнику податків у день, вказаний поштовою службою в повідомленні про вручення із зазначенням причини невручення.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Слід зазначити, що фізичні особи – громадяни відповідно до п. п. 266.7.3 п. 266.7 ст. 266, п. п. «в» п. п. 267.6.10 п. 267.6 ст. 267, п. 286.5 ст. 286 ПКУ мають право звернутися з письмовою заявою до контролюючого органу: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за своєю податковою адресою для проведення звірки даних щодо нарахованої суми податку на нерухоме майно, відмінне від земельної ділянки;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►за своєю податковою адресою (місцем реєстрації) для проведення звірки даних щодо нарахованої суми транспортного податку;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за місцем знаходження земельної ділянки для проведення звірки даних щодо нарахованої суми плати за землю.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4"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5"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6"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p w:rsidR="00093ADA" w:rsidRPr="00BA5EFD" w:rsidRDefault="00093ADA"/>
    <w:p w:rsidR="00093ADA" w:rsidRPr="007573C0" w:rsidRDefault="00093ADA" w:rsidP="004156DC">
      <w:pPr>
        <w:pStyle w:val="1"/>
        <w:spacing w:before="0" w:beforeAutospacing="0" w:after="0" w:afterAutospacing="0"/>
        <w:rPr>
          <w:sz w:val="20"/>
          <w:szCs w:val="20"/>
        </w:rPr>
      </w:pPr>
      <w:r w:rsidRPr="007573C0">
        <w:rPr>
          <w:sz w:val="20"/>
          <w:szCs w:val="20"/>
        </w:rPr>
        <w:t>До уваги платників податків: важливі документи, які набрали чинності у вересні 2021 року!</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Головним управлінням ДПС у Дніпропетровській області до відома та використання у роботі підготовлено моніторинг новацій у законодавстві, які набрали чинності у вересні 2021 року </w:t>
      </w:r>
    </w:p>
    <w:p w:rsidR="00093ADA" w:rsidRPr="004156DC" w:rsidRDefault="00093ADA" w:rsidP="004156DC">
      <w:pPr>
        <w:pStyle w:val="a4"/>
        <w:spacing w:before="0" w:beforeAutospacing="0" w:after="0" w:afterAutospacing="0"/>
        <w:rPr>
          <w:sz w:val="20"/>
          <w:szCs w:val="20"/>
        </w:rPr>
      </w:pPr>
      <w:r w:rsidRPr="007573C0">
        <w:rPr>
          <w:sz w:val="20"/>
          <w:szCs w:val="20"/>
        </w:rPr>
        <w:t xml:space="preserve">  </w:t>
      </w:r>
      <w:hyperlink r:id="rId27" w:history="1">
        <w:r w:rsidRPr="007573C0">
          <w:rPr>
            <w:rStyle w:val="a5"/>
            <w:color w:val="0000FF"/>
            <w:sz w:val="20"/>
            <w:szCs w:val="20"/>
            <w:u w:val="single"/>
          </w:rPr>
          <w:t>Моніторинг щотижневих важливих новацій у законодавстві, що набрали чинності у вересні 2021 року, підготовлений Головним управлінням ДПС у Дніпропетровській області</w:t>
        </w:r>
      </w:hyperlink>
    </w:p>
    <w:p w:rsidR="00093ADA" w:rsidRPr="00BA5EFD" w:rsidRDefault="00093ADA" w:rsidP="004156DC">
      <w:pPr>
        <w:rPr>
          <w:sz w:val="20"/>
          <w:szCs w:val="20"/>
        </w:rPr>
      </w:pPr>
    </w:p>
    <w:p w:rsidR="00093ADA" w:rsidRPr="00BA5EFD" w:rsidRDefault="00093ADA" w:rsidP="004156DC">
      <w:pPr>
        <w:rPr>
          <w:sz w:val="20"/>
          <w:szCs w:val="20"/>
        </w:rPr>
      </w:pPr>
    </w:p>
    <w:p w:rsidR="00093ADA" w:rsidRPr="004156DC" w:rsidRDefault="00093ADA" w:rsidP="004156DC">
      <w:pPr>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Шановні платники податків</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звертає увагу, що Кабінет Міністрів України постановою від 29 квітня 2020 року №321 затвердив Порядок функціонування єдиного рахунку та виконання норм статті 351 Податкового кодексу України центральними органами виконавчої влади, який містить описи наступних процесів: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механізм зарахування платниками коштів на єдиний рахунок;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механізм перерахування коштів з єдиного та/або на не бюджетні рахунки органів ДПС, відкриті в Казначействі для зарахування єдиного внеску;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повернення (врахування) помилково та/або надміру зарахованих коштів;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інформаційну взаємодію між ДПС та Казначейством про рух коштів на єдиному рахунку.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Починаючи з 01.01.2021 року ДПС України впроваджено функціонування єдиного рахунка для сплати грошових зобов’язань та/або податкового боргу з податків і зборів, передбачених Податковим кодексом України, єдиного внеску на загальнообов’язкове державне соціальне страхування.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Єдиний рахунок - це рахунок, відкритий у центральному органі виконавчої влади, що реалізує державну політику у сфері казначейського обслуговування бюджетних коштів, для центрального органу виконавчої влади, що реалізує державну податкову політику, який може використовуватися платником податків для сплати грошових зобов'язань та/або податкового боргу з податків та зборів, передбачених цим Кодексом, єдиного внеску та інших платежів, контроль за справлянням яких покладено на контролюючі органи.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Єдиний рахунок не може використовуватися платником податків для сплати грошових зобов'язань та/або податкового боргу з податку на додану вартість, акцизного податку з реалізації пального та спирту етилового, а також для сплати частини чистого прибутку (доходу) до бюджету державними та комунальними унітарними підприємствами та їх об'єднаннями.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Єдиний рахунок – це один рахунок для сплати податків і зборів усіма платниками податків.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Переваги користування єдиним рахунком в тому, що такий спосіб сплати податків і зборів є комфортним, оскільки скорочує платникам фінансові витрати і час на формування розрахункових документів.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Шановні платники податків, Головне управління ДПС у Дніпропетровській області пропонує Вам зареєструватись платниками єдиного рахунку.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Оновлено Класифікатор сфер застосування реєстраторів розрахункових операцій</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Державна податкова служба повідомляє, що на останньому засіданні технічної комісії з питань ведення Державного реєстру реєстраторів розрахункових операцій (протокол засідання від 21.09.2021 № 54) прийнято рішення про доповнення Класифікатора сфер застосування реєстраторів розрахункових операцій новою сферою: </w:t>
      </w:r>
    </w:p>
    <w:p w:rsidR="00093ADA" w:rsidRPr="007573C0" w:rsidRDefault="00093ADA" w:rsidP="004156DC">
      <w:pPr>
        <w:pStyle w:val="a4"/>
        <w:spacing w:before="0" w:beforeAutospacing="0" w:after="0" w:afterAutospacing="0"/>
        <w:jc w:val="both"/>
        <w:rPr>
          <w:sz w:val="20"/>
          <w:szCs w:val="20"/>
        </w:rPr>
      </w:pPr>
      <w:r w:rsidRPr="007573C0">
        <w:rPr>
          <w:rStyle w:val="a6"/>
          <w:sz w:val="20"/>
          <w:szCs w:val="20"/>
        </w:rPr>
        <w:t>«Організація та проведення азартних ігор».</w:t>
      </w:r>
      <w:r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Просимо суб'єктів господарювання та їх керівників взяти до уваги зазначену інформацію та враховувати її при здійсненні господарської діяльності.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Інформацію розміщено на офіційному вебпорталі ДПС України за посиланням </w:t>
      </w:r>
    </w:p>
    <w:p w:rsidR="00093ADA" w:rsidRPr="007573C0" w:rsidRDefault="006C5D40" w:rsidP="004156DC">
      <w:pPr>
        <w:pStyle w:val="a4"/>
        <w:spacing w:before="0" w:beforeAutospacing="0" w:after="0" w:afterAutospacing="0"/>
        <w:jc w:val="both"/>
        <w:rPr>
          <w:sz w:val="20"/>
          <w:szCs w:val="20"/>
        </w:rPr>
      </w:pPr>
      <w:hyperlink r:id="rId28" w:history="1">
        <w:r w:rsidR="00093ADA" w:rsidRPr="007573C0">
          <w:rPr>
            <w:rStyle w:val="a3"/>
            <w:b/>
            <w:bCs/>
            <w:sz w:val="20"/>
            <w:szCs w:val="20"/>
          </w:rPr>
          <w:t>https://tax.gov.ua/nove-pro-podatki--novini-/511196.html</w:t>
        </w:r>
      </w:hyperlink>
      <w:r w:rsidR="00093ADA"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29"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0"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1"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BA5EFD" w:rsidRDefault="00093ADA" w:rsidP="004156DC"/>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Оновлено Державний реєстр РРО</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повідомляє, що ДПС України наказом від 12.10.2021 № 883 «Про внесення змін до наказу ДПС від 21.12.2020 № 744» оновлено Державний реєстр реєстраторів розрахункових операцій (далі – Державний реєстр).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Оновлений Державний реєстр містить перелік РРО, дозволених до первинної реєстрації, а також первинна реєстрація яких заборонена, в кількості 188 моделей (раніше їх було 186 моделей).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Окремо наводиться Перелік реєстраторів розрахункових операцій, виключених з Державного реєстру в 2016 – 2021 роках, експлуатація яких не дозволяється. У списку таких РРО як і у попередньому переліку 16.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Наказ № 744 розміщено на офіційному вебпорталі ДПС України за посиланням </w:t>
      </w:r>
    </w:p>
    <w:p w:rsidR="00093ADA" w:rsidRPr="007573C0" w:rsidRDefault="006C5D40" w:rsidP="004156DC">
      <w:pPr>
        <w:pStyle w:val="a4"/>
        <w:spacing w:before="0" w:beforeAutospacing="0" w:after="0" w:afterAutospacing="0"/>
        <w:jc w:val="both"/>
        <w:rPr>
          <w:sz w:val="20"/>
          <w:szCs w:val="20"/>
        </w:rPr>
      </w:pPr>
      <w:hyperlink r:id="rId32" w:history="1">
        <w:r w:rsidR="00093ADA" w:rsidRPr="007573C0">
          <w:rPr>
            <w:rStyle w:val="a3"/>
            <w:sz w:val="20"/>
            <w:szCs w:val="20"/>
          </w:rPr>
          <w:t>https://tax.gov.ua/zakonodavstvo/podatkove-zakonodavstvo/nakazi/76437.html</w:t>
        </w:r>
      </w:hyperlink>
      <w:r w:rsidR="00093ADA"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3"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4" w:history="1">
        <w:r w:rsidR="00093ADA" w:rsidRPr="007573C0">
          <w:rPr>
            <w:rStyle w:val="a3"/>
            <w:sz w:val="20"/>
            <w:szCs w:val="20"/>
          </w:rPr>
          <w:t>https://www.facebook.com/tax.dnipropetrovsk/</w:t>
        </w:r>
      </w:hyperlink>
      <w:r w:rsidR="00093ADA" w:rsidRPr="007573C0">
        <w:rPr>
          <w:sz w:val="20"/>
          <w:szCs w:val="20"/>
        </w:rPr>
        <w:t xml:space="preserve">; </w:t>
      </w:r>
    </w:p>
    <w:p w:rsidR="00093ADA" w:rsidRPr="00BA5EFD" w:rsidRDefault="006C5D40" w:rsidP="004156DC">
      <w:pPr>
        <w:pStyle w:val="a4"/>
        <w:spacing w:before="0" w:beforeAutospacing="0" w:after="0" w:afterAutospacing="0"/>
        <w:jc w:val="both"/>
        <w:rPr>
          <w:sz w:val="20"/>
          <w:szCs w:val="20"/>
        </w:rPr>
      </w:pPr>
      <w:hyperlink r:id="rId35"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Платники ПДВ Дніпропетровського регіону протягом дев’яти місяців 2021 року спрямували до загального фонду держбюджету понад 8,1 млрд гривень</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Платники ПДВ Дніпропетровського регіону протягом січня – вересня 2021 року до Держаного бюджету України спрямували суму понад 8,13 млрд гривень. Надходження з ПДВ у порівнянні з 2020 роком зросли на понад 791,4 млн гривень.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Нагадуємо, що для цілей оподаткування платником ПДВ є, зокрема: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 будь-яка особа, що провадить або планує провадити господарську діяльність і реєструється за своїм добровільним рішенням як платник ПДВ у порядку, визначеному ст.183 Податкового кодексу України (далі –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2) будь-яка особа, що зареєстрована або підлягає реєстрації як платник ПДВ;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3) будь-яка особа, що ввозить товари на митну територію України в обсягах, які підлягають оподаткуванню ПДВ,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Крім того, особою, відповідальною за нарахування та сплату ПДВ до бюджету у разі постачання послуг нерезидентами, у тому числі їх постійними представництвами, не зареєстрованими як платники ПДВ, якщо місце постачання послуг розташоване на митній території України, є отримувач послуг.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6"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7" w:history="1">
        <w:r w:rsidR="00093ADA" w:rsidRPr="007573C0">
          <w:rPr>
            <w:rStyle w:val="a3"/>
            <w:sz w:val="20"/>
            <w:szCs w:val="20"/>
          </w:rPr>
          <w:t>https://www.facebook.com/tax.dnipropetrovsk/</w:t>
        </w:r>
      </w:hyperlink>
      <w:r w:rsidR="00093ADA" w:rsidRPr="007573C0">
        <w:rPr>
          <w:sz w:val="20"/>
          <w:szCs w:val="20"/>
        </w:rPr>
        <w:t xml:space="preserve">; </w:t>
      </w:r>
    </w:p>
    <w:p w:rsidR="00093ADA" w:rsidRPr="00BA5EFD" w:rsidRDefault="006C5D40" w:rsidP="004156DC">
      <w:pPr>
        <w:pStyle w:val="a4"/>
        <w:spacing w:before="0" w:beforeAutospacing="0" w:after="0" w:afterAutospacing="0"/>
        <w:jc w:val="both"/>
        <w:rPr>
          <w:sz w:val="20"/>
          <w:szCs w:val="20"/>
        </w:rPr>
      </w:pPr>
      <w:hyperlink r:id="rId38"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BA5EFD" w:rsidRDefault="00093ADA" w:rsidP="004156DC">
      <w:pPr>
        <w:pStyle w:val="a4"/>
        <w:spacing w:before="0" w:beforeAutospacing="0" w:after="0" w:afterAutospacing="0"/>
        <w:jc w:val="both"/>
        <w:rPr>
          <w:sz w:val="20"/>
          <w:szCs w:val="20"/>
        </w:rPr>
      </w:pPr>
    </w:p>
    <w:p w:rsidR="00093ADA" w:rsidRPr="00BA5EFD" w:rsidRDefault="00093ADA" w:rsidP="004156DC">
      <w:pPr>
        <w:pStyle w:val="1"/>
        <w:spacing w:before="0" w:beforeAutospacing="0" w:after="0" w:afterAutospacing="0"/>
        <w:rPr>
          <w:sz w:val="20"/>
          <w:szCs w:val="20"/>
        </w:rPr>
      </w:pPr>
      <w:r w:rsidRPr="007573C0">
        <w:rPr>
          <w:sz w:val="20"/>
          <w:szCs w:val="20"/>
        </w:rPr>
        <w:t>Чи</w:t>
      </w:r>
      <w:r w:rsidRPr="00BA5EFD">
        <w:rPr>
          <w:sz w:val="20"/>
          <w:szCs w:val="20"/>
        </w:rPr>
        <w:t xml:space="preserve"> </w:t>
      </w:r>
      <w:r w:rsidRPr="007573C0">
        <w:rPr>
          <w:sz w:val="20"/>
          <w:szCs w:val="20"/>
        </w:rPr>
        <w:t>підлягає</w:t>
      </w:r>
      <w:r w:rsidRPr="00BA5EFD">
        <w:rPr>
          <w:sz w:val="20"/>
          <w:szCs w:val="20"/>
        </w:rPr>
        <w:t xml:space="preserve"> </w:t>
      </w:r>
      <w:r w:rsidRPr="007573C0">
        <w:rPr>
          <w:sz w:val="20"/>
          <w:szCs w:val="20"/>
        </w:rPr>
        <w:t>анулюванню</w:t>
      </w:r>
      <w:r w:rsidRPr="00BA5EFD">
        <w:rPr>
          <w:sz w:val="20"/>
          <w:szCs w:val="20"/>
        </w:rPr>
        <w:t xml:space="preserve"> </w:t>
      </w:r>
      <w:r w:rsidRPr="007573C0">
        <w:rPr>
          <w:sz w:val="20"/>
          <w:szCs w:val="20"/>
        </w:rPr>
        <w:t>платник</w:t>
      </w:r>
      <w:r w:rsidRPr="00BA5EFD">
        <w:rPr>
          <w:sz w:val="20"/>
          <w:szCs w:val="20"/>
        </w:rPr>
        <w:t xml:space="preserve"> </w:t>
      </w:r>
      <w:r w:rsidRPr="007573C0">
        <w:rPr>
          <w:sz w:val="20"/>
          <w:szCs w:val="20"/>
        </w:rPr>
        <w:t>ПДВ</w:t>
      </w:r>
      <w:r w:rsidRPr="00BA5EFD">
        <w:rPr>
          <w:sz w:val="20"/>
          <w:szCs w:val="20"/>
        </w:rPr>
        <w:t xml:space="preserve">, </w:t>
      </w:r>
      <w:r w:rsidRPr="007573C0">
        <w:rPr>
          <w:sz w:val="20"/>
          <w:szCs w:val="20"/>
        </w:rPr>
        <w:t>що</w:t>
      </w:r>
      <w:r w:rsidRPr="00BA5EFD">
        <w:rPr>
          <w:sz w:val="20"/>
          <w:szCs w:val="20"/>
        </w:rPr>
        <w:t xml:space="preserve"> </w:t>
      </w:r>
      <w:r w:rsidRPr="007573C0">
        <w:rPr>
          <w:sz w:val="20"/>
          <w:szCs w:val="20"/>
        </w:rPr>
        <w:t>реорганізується</w:t>
      </w:r>
      <w:r w:rsidRPr="00BA5EFD">
        <w:rPr>
          <w:sz w:val="20"/>
          <w:szCs w:val="20"/>
        </w:rPr>
        <w:t xml:space="preserve"> </w:t>
      </w:r>
      <w:r w:rsidRPr="007573C0">
        <w:rPr>
          <w:sz w:val="20"/>
          <w:szCs w:val="20"/>
        </w:rPr>
        <w:t>шляхом</w:t>
      </w:r>
      <w:r w:rsidRPr="00BA5EFD">
        <w:rPr>
          <w:sz w:val="20"/>
          <w:szCs w:val="20"/>
        </w:rPr>
        <w:t xml:space="preserve"> </w:t>
      </w:r>
      <w:r w:rsidRPr="007573C0">
        <w:rPr>
          <w:sz w:val="20"/>
          <w:szCs w:val="20"/>
        </w:rPr>
        <w:t>приєднання</w:t>
      </w:r>
      <w:r w:rsidRPr="00BA5EFD">
        <w:rPr>
          <w:sz w:val="20"/>
          <w:szCs w:val="20"/>
        </w:rPr>
        <w:t xml:space="preserve">, </w:t>
      </w:r>
      <w:r w:rsidRPr="007573C0">
        <w:rPr>
          <w:sz w:val="20"/>
          <w:szCs w:val="20"/>
        </w:rPr>
        <w:t>злиття</w:t>
      </w:r>
      <w:r w:rsidRPr="00BA5EFD">
        <w:rPr>
          <w:sz w:val="20"/>
          <w:szCs w:val="20"/>
        </w:rPr>
        <w:t xml:space="preserve">, </w:t>
      </w:r>
      <w:r w:rsidRPr="007573C0">
        <w:rPr>
          <w:sz w:val="20"/>
          <w:szCs w:val="20"/>
        </w:rPr>
        <w:t>перетворення</w:t>
      </w:r>
      <w:r w:rsidRPr="00BA5EFD">
        <w:rPr>
          <w:sz w:val="20"/>
          <w:szCs w:val="20"/>
        </w:rPr>
        <w:t xml:space="preserve">, </w:t>
      </w:r>
      <w:r w:rsidRPr="007573C0">
        <w:rPr>
          <w:sz w:val="20"/>
          <w:szCs w:val="20"/>
        </w:rPr>
        <w:t>поділу</w:t>
      </w:r>
      <w:r w:rsidRPr="00BA5EFD">
        <w:rPr>
          <w:sz w:val="20"/>
          <w:szCs w:val="20"/>
        </w:rPr>
        <w:t xml:space="preserve"> </w:t>
      </w:r>
      <w:r w:rsidRPr="007573C0">
        <w:rPr>
          <w:sz w:val="20"/>
          <w:szCs w:val="20"/>
        </w:rPr>
        <w:t>та</w:t>
      </w:r>
      <w:r w:rsidRPr="00BA5EFD">
        <w:rPr>
          <w:sz w:val="20"/>
          <w:szCs w:val="20"/>
        </w:rPr>
        <w:t xml:space="preserve"> </w:t>
      </w:r>
      <w:r w:rsidRPr="007573C0">
        <w:rPr>
          <w:sz w:val="20"/>
          <w:szCs w:val="20"/>
        </w:rPr>
        <w:t>виділення</w:t>
      </w:r>
      <w:r w:rsidRPr="00BA5EFD">
        <w:rPr>
          <w:sz w:val="20"/>
          <w:szCs w:val="20"/>
        </w:rPr>
        <w:t>?</w:t>
      </w:r>
    </w:p>
    <w:p w:rsidR="00093ADA" w:rsidRPr="007573C0" w:rsidRDefault="00093ADA" w:rsidP="004156DC">
      <w:pPr>
        <w:pStyle w:val="a4"/>
        <w:spacing w:before="0" w:beforeAutospacing="0" w:after="0" w:afterAutospacing="0"/>
        <w:jc w:val="both"/>
        <w:rPr>
          <w:sz w:val="20"/>
          <w:szCs w:val="20"/>
        </w:rPr>
      </w:pPr>
      <w:r w:rsidRPr="007573C0">
        <w:rPr>
          <w:sz w:val="20"/>
          <w:szCs w:val="20"/>
        </w:rPr>
        <w:t>Головне</w:t>
      </w:r>
      <w:r w:rsidRPr="00BA5EFD">
        <w:rPr>
          <w:sz w:val="20"/>
          <w:szCs w:val="20"/>
        </w:rPr>
        <w:t xml:space="preserve"> </w:t>
      </w:r>
      <w:r w:rsidRPr="007573C0">
        <w:rPr>
          <w:sz w:val="20"/>
          <w:szCs w:val="20"/>
        </w:rPr>
        <w:t>управління</w:t>
      </w:r>
      <w:r w:rsidRPr="00BA5EFD">
        <w:rPr>
          <w:sz w:val="20"/>
          <w:szCs w:val="20"/>
        </w:rPr>
        <w:t xml:space="preserve"> </w:t>
      </w:r>
      <w:r w:rsidRPr="007573C0">
        <w:rPr>
          <w:sz w:val="20"/>
          <w:szCs w:val="20"/>
        </w:rPr>
        <w:t>ДПС</w:t>
      </w:r>
      <w:r w:rsidRPr="00BA5EFD">
        <w:rPr>
          <w:sz w:val="20"/>
          <w:szCs w:val="20"/>
        </w:rPr>
        <w:t xml:space="preserve"> </w:t>
      </w:r>
      <w:r w:rsidRPr="007573C0">
        <w:rPr>
          <w:sz w:val="20"/>
          <w:szCs w:val="20"/>
        </w:rPr>
        <w:t>у</w:t>
      </w:r>
      <w:r w:rsidRPr="00BA5EFD">
        <w:rPr>
          <w:sz w:val="20"/>
          <w:szCs w:val="20"/>
        </w:rPr>
        <w:t xml:space="preserve"> </w:t>
      </w:r>
      <w:r w:rsidRPr="007573C0">
        <w:rPr>
          <w:sz w:val="20"/>
          <w:szCs w:val="20"/>
        </w:rPr>
        <w:t>Дніпропетровській</w:t>
      </w:r>
      <w:r w:rsidRPr="00BA5EFD">
        <w:rPr>
          <w:sz w:val="20"/>
          <w:szCs w:val="20"/>
        </w:rPr>
        <w:t xml:space="preserve"> </w:t>
      </w:r>
      <w:r w:rsidRPr="007573C0">
        <w:rPr>
          <w:sz w:val="20"/>
          <w:szCs w:val="20"/>
        </w:rPr>
        <w:t>області</w:t>
      </w:r>
      <w:r w:rsidRPr="00BA5EFD">
        <w:rPr>
          <w:sz w:val="20"/>
          <w:szCs w:val="20"/>
        </w:rPr>
        <w:t xml:space="preserve"> </w:t>
      </w:r>
      <w:r w:rsidRPr="007573C0">
        <w:rPr>
          <w:sz w:val="20"/>
          <w:szCs w:val="20"/>
        </w:rPr>
        <w:t>повідомляє</w:t>
      </w:r>
      <w:r w:rsidRPr="00BA5EFD">
        <w:rPr>
          <w:sz w:val="20"/>
          <w:szCs w:val="20"/>
        </w:rPr>
        <w:t xml:space="preserve">, </w:t>
      </w:r>
      <w:r w:rsidRPr="007573C0">
        <w:rPr>
          <w:sz w:val="20"/>
          <w:szCs w:val="20"/>
        </w:rPr>
        <w:t>що</w:t>
      </w:r>
      <w:r w:rsidRPr="00BA5EFD">
        <w:rPr>
          <w:sz w:val="20"/>
          <w:szCs w:val="20"/>
        </w:rPr>
        <w:t xml:space="preserve"> </w:t>
      </w:r>
      <w:r w:rsidRPr="007573C0">
        <w:rPr>
          <w:sz w:val="20"/>
          <w:szCs w:val="20"/>
        </w:rPr>
        <w:t>відповідно</w:t>
      </w:r>
      <w:r w:rsidRPr="00BA5EFD">
        <w:rPr>
          <w:sz w:val="20"/>
          <w:szCs w:val="20"/>
        </w:rPr>
        <w:t xml:space="preserve"> </w:t>
      </w:r>
      <w:r w:rsidRPr="007573C0">
        <w:rPr>
          <w:sz w:val="20"/>
          <w:szCs w:val="20"/>
        </w:rPr>
        <w:t>до</w:t>
      </w:r>
      <w:r w:rsidRPr="00BA5EFD">
        <w:rPr>
          <w:sz w:val="20"/>
          <w:szCs w:val="20"/>
        </w:rPr>
        <w:t xml:space="preserve"> </w:t>
      </w:r>
      <w:r w:rsidRPr="007573C0">
        <w:rPr>
          <w:sz w:val="20"/>
          <w:szCs w:val="20"/>
        </w:rPr>
        <w:t>ст</w:t>
      </w:r>
      <w:r w:rsidRPr="00BA5EFD">
        <w:rPr>
          <w:sz w:val="20"/>
          <w:szCs w:val="20"/>
        </w:rPr>
        <w:t xml:space="preserve">. 104 </w:t>
      </w:r>
      <w:r w:rsidRPr="007573C0">
        <w:rPr>
          <w:sz w:val="20"/>
          <w:szCs w:val="20"/>
        </w:rPr>
        <w:t>Цивільного</w:t>
      </w:r>
      <w:r w:rsidRPr="00BA5EFD">
        <w:rPr>
          <w:sz w:val="20"/>
          <w:szCs w:val="20"/>
        </w:rPr>
        <w:t xml:space="preserve"> </w:t>
      </w:r>
      <w:r w:rsidRPr="007573C0">
        <w:rPr>
          <w:sz w:val="20"/>
          <w:szCs w:val="20"/>
        </w:rPr>
        <w:t>кодексу</w:t>
      </w:r>
      <w:r w:rsidRPr="00BA5EFD">
        <w:rPr>
          <w:sz w:val="20"/>
          <w:szCs w:val="20"/>
        </w:rPr>
        <w:t xml:space="preserve"> </w:t>
      </w:r>
      <w:r w:rsidRPr="007573C0">
        <w:rPr>
          <w:sz w:val="20"/>
          <w:szCs w:val="20"/>
        </w:rPr>
        <w:t>України</w:t>
      </w:r>
      <w:r w:rsidRPr="00BA5EFD">
        <w:rPr>
          <w:sz w:val="20"/>
          <w:szCs w:val="20"/>
        </w:rPr>
        <w:t xml:space="preserve"> </w:t>
      </w:r>
      <w:r w:rsidRPr="007573C0">
        <w:rPr>
          <w:sz w:val="20"/>
          <w:szCs w:val="20"/>
        </w:rPr>
        <w:t>від</w:t>
      </w:r>
      <w:r w:rsidRPr="00BA5EFD">
        <w:rPr>
          <w:sz w:val="20"/>
          <w:szCs w:val="20"/>
        </w:rPr>
        <w:t xml:space="preserve"> 16 </w:t>
      </w:r>
      <w:r w:rsidRPr="007573C0">
        <w:rPr>
          <w:sz w:val="20"/>
          <w:szCs w:val="20"/>
        </w:rPr>
        <w:t>січня</w:t>
      </w:r>
      <w:r w:rsidRPr="00BA5EFD">
        <w:rPr>
          <w:sz w:val="20"/>
          <w:szCs w:val="20"/>
        </w:rPr>
        <w:t xml:space="preserve"> 2003 № 435-</w:t>
      </w:r>
      <w:r w:rsidRPr="004156DC">
        <w:rPr>
          <w:sz w:val="20"/>
          <w:szCs w:val="20"/>
          <w:lang w:val="en-US"/>
        </w:rPr>
        <w:t>IV</w:t>
      </w:r>
      <w:r w:rsidRPr="00BA5EFD">
        <w:rPr>
          <w:sz w:val="20"/>
          <w:szCs w:val="20"/>
        </w:rPr>
        <w:t xml:space="preserve"> (</w:t>
      </w:r>
      <w:r w:rsidRPr="007573C0">
        <w:rPr>
          <w:sz w:val="20"/>
          <w:szCs w:val="20"/>
        </w:rPr>
        <w:t>далі</w:t>
      </w:r>
      <w:r w:rsidRPr="00BA5EFD">
        <w:rPr>
          <w:sz w:val="20"/>
          <w:szCs w:val="20"/>
        </w:rPr>
        <w:t xml:space="preserve"> – </w:t>
      </w:r>
      <w:r w:rsidRPr="007573C0">
        <w:rPr>
          <w:sz w:val="20"/>
          <w:szCs w:val="20"/>
        </w:rPr>
        <w:t>ЦКУ</w:t>
      </w:r>
      <w:r w:rsidRPr="00BA5EFD">
        <w:rPr>
          <w:sz w:val="20"/>
          <w:szCs w:val="20"/>
        </w:rPr>
        <w:t xml:space="preserve">) </w:t>
      </w:r>
      <w:r w:rsidRPr="007573C0">
        <w:rPr>
          <w:sz w:val="20"/>
          <w:szCs w:val="20"/>
        </w:rPr>
        <w:t>юридична</w:t>
      </w:r>
      <w:r w:rsidRPr="00BA5EFD">
        <w:rPr>
          <w:sz w:val="20"/>
          <w:szCs w:val="20"/>
        </w:rPr>
        <w:t xml:space="preserve"> </w:t>
      </w:r>
      <w:r w:rsidRPr="007573C0">
        <w:rPr>
          <w:sz w:val="20"/>
          <w:szCs w:val="20"/>
        </w:rPr>
        <w:t>особа</w:t>
      </w:r>
      <w:r w:rsidRPr="00BA5EFD">
        <w:rPr>
          <w:sz w:val="20"/>
          <w:szCs w:val="20"/>
        </w:rPr>
        <w:t xml:space="preserve"> </w:t>
      </w:r>
      <w:r w:rsidRPr="007573C0">
        <w:rPr>
          <w:sz w:val="20"/>
          <w:szCs w:val="20"/>
        </w:rPr>
        <w:t>припиняється</w:t>
      </w:r>
      <w:r w:rsidRPr="00BA5EFD">
        <w:rPr>
          <w:sz w:val="20"/>
          <w:szCs w:val="20"/>
        </w:rPr>
        <w:t xml:space="preserve"> </w:t>
      </w:r>
      <w:r w:rsidRPr="007573C0">
        <w:rPr>
          <w:sz w:val="20"/>
          <w:szCs w:val="20"/>
        </w:rPr>
        <w:t>в</w:t>
      </w:r>
      <w:r w:rsidRPr="00BA5EFD">
        <w:rPr>
          <w:sz w:val="20"/>
          <w:szCs w:val="20"/>
        </w:rPr>
        <w:t xml:space="preserve"> </w:t>
      </w:r>
      <w:r w:rsidRPr="007573C0">
        <w:rPr>
          <w:sz w:val="20"/>
          <w:szCs w:val="20"/>
        </w:rPr>
        <w:t>результаті</w:t>
      </w:r>
      <w:r w:rsidRPr="00BA5EFD">
        <w:rPr>
          <w:sz w:val="20"/>
          <w:szCs w:val="20"/>
        </w:rPr>
        <w:t xml:space="preserve"> </w:t>
      </w:r>
      <w:r w:rsidRPr="007573C0">
        <w:rPr>
          <w:sz w:val="20"/>
          <w:szCs w:val="20"/>
        </w:rPr>
        <w:t>реорганізації</w:t>
      </w:r>
      <w:r w:rsidRPr="00BA5EFD">
        <w:rPr>
          <w:sz w:val="20"/>
          <w:szCs w:val="20"/>
        </w:rPr>
        <w:t xml:space="preserve"> (</w:t>
      </w:r>
      <w:r w:rsidRPr="007573C0">
        <w:rPr>
          <w:sz w:val="20"/>
          <w:szCs w:val="20"/>
        </w:rPr>
        <w:t>злиття</w:t>
      </w:r>
      <w:r w:rsidRPr="00BA5EFD">
        <w:rPr>
          <w:sz w:val="20"/>
          <w:szCs w:val="20"/>
        </w:rPr>
        <w:t xml:space="preserve">, </w:t>
      </w:r>
      <w:r w:rsidRPr="007573C0">
        <w:rPr>
          <w:sz w:val="20"/>
          <w:szCs w:val="20"/>
        </w:rPr>
        <w:t>приєднання</w:t>
      </w:r>
      <w:r w:rsidRPr="00BA5EFD">
        <w:rPr>
          <w:sz w:val="20"/>
          <w:szCs w:val="20"/>
        </w:rPr>
        <w:t xml:space="preserve">, </w:t>
      </w:r>
      <w:r w:rsidRPr="007573C0">
        <w:rPr>
          <w:sz w:val="20"/>
          <w:szCs w:val="20"/>
        </w:rPr>
        <w:t>поділу</w:t>
      </w:r>
      <w:r w:rsidRPr="00BA5EFD">
        <w:rPr>
          <w:sz w:val="20"/>
          <w:szCs w:val="20"/>
        </w:rPr>
        <w:t xml:space="preserve">, </w:t>
      </w:r>
      <w:r w:rsidRPr="007573C0">
        <w:rPr>
          <w:sz w:val="20"/>
          <w:szCs w:val="20"/>
        </w:rPr>
        <w:t>перетворення</w:t>
      </w:r>
      <w:r w:rsidRPr="00BA5EFD">
        <w:rPr>
          <w:sz w:val="20"/>
          <w:szCs w:val="20"/>
        </w:rPr>
        <w:t xml:space="preserve">) </w:t>
      </w:r>
      <w:r w:rsidRPr="007573C0">
        <w:rPr>
          <w:sz w:val="20"/>
          <w:szCs w:val="20"/>
        </w:rPr>
        <w:t>або</w:t>
      </w:r>
      <w:r w:rsidRPr="00BA5EFD">
        <w:rPr>
          <w:sz w:val="20"/>
          <w:szCs w:val="20"/>
        </w:rPr>
        <w:t xml:space="preserve"> </w:t>
      </w:r>
      <w:r w:rsidRPr="007573C0">
        <w:rPr>
          <w:sz w:val="20"/>
          <w:szCs w:val="20"/>
        </w:rPr>
        <w:t>ліквідації</w:t>
      </w:r>
      <w:r w:rsidRPr="00BA5EFD">
        <w:rPr>
          <w:sz w:val="20"/>
          <w:szCs w:val="20"/>
        </w:rPr>
        <w:t xml:space="preserve">. </w:t>
      </w:r>
      <w:r w:rsidRPr="007573C0">
        <w:rPr>
          <w:sz w:val="20"/>
          <w:szCs w:val="20"/>
        </w:rPr>
        <w:t xml:space="preserve">У разі реорганізації юридичних осіб майно, права та обов’язки переходять до правонаступників.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Порядок припинення юридичної особи шляхом злиття, приєднання, поділу та перетворення визначений статтею 107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Після закінчення строку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перетворення), який має містити положення про правонаступництво щодо всіх зобов’язань юридичної особи, що припиняється, стосовно всіх її кредиторів та боржників, включаючи зобов’язання, які оспорюються сторонами (частина друга ст. 107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Частинами 3 – 7 ст. 4 Закону України «Про державну реєстрацію юридичних осіб, фізичних осіб - підприємців та громадських формувань» від 15 травня 2003 року № 755-IV визначено, що: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реєстрі, про юридичну особу, з якої здійснено виділ, щодо юридичної особи - правонаступника.;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у результаті злиття;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у разі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у результаті поділу;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реєстрі, щодо правонаступництва юридичної особи, до якої приєднуються.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Порядок анулювання реєстрації платників ПДВ визначено ст. 184 Податкового кодексу України (далі – ПКУ) та регламентовано розділом V Положення про реєстрацію платників податку на додану вартість, затвердженого наказом Міністерства фінансів України від 14.11.2014 № 1130, який зареєстровано в Міністерстві юстиції України 17.11.2014 за № 1456/26233 із змінами і доповненнями (далі – Положення № 1130).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Реєстрація діє до дати анулювання реєстрації платника ПДВ, яка проводиться шляхом виключення з реєстру платників ПДВ і відбувається у разі, якщо особа, зареєстрована як платник ПДВ, прийняла рішення про припинення та затвердила ліквідаційний баланс, передавальний акт або розподільчий баланс відповідно до законодавства за умови сплати суми податкових зобов’язань із ПДВ у випадках, визначених розділом V ПКУ (п. п. «б» п. 184.1 ст. 184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Нормами п. 5.2 Положення № 1130 встановлено, що анулювання реєстрації згідно з п. п. «б» п. 184.1 ст. 184 ПКУ може бути ініційоване платником ПДВ – юридичною особою після складання комісією з припинення (комісією з реорганізації, ліквідаційною комісією) або ліквідатором ліквідаційного балансу, передавального акта або розподільчого балансу у разі реорганізації платника ПДВ відповідно до законодавства шляхом приєднання, злиття, поділу та перетворення (якщо датою державної реєстрації юридичної особи, утвореної в результаті перетворення, є дата завершення перетворення).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Виходячи із зазначеного, реєстрація платника ПДВ, що реорганізується шляхом приєднання, злиття, поділу та перетворення (у випадку якщо датою державної реєстрації юридичної особи, утвореної в результаті перетворення, є дата завершення перетворення), підлягає анулюванню. Не підлягає анулюванню реєстрація платника ПДВ, що реорганізується шляхом виділу.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39"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0"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1"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4156DC" w:rsidRDefault="00093ADA" w:rsidP="004156DC">
      <w:pPr>
        <w:pStyle w:val="a4"/>
        <w:spacing w:before="0" w:beforeAutospacing="0" w:after="0" w:afterAutospacing="0"/>
        <w:jc w:val="both"/>
        <w:rPr>
          <w:sz w:val="20"/>
          <w:szCs w:val="20"/>
        </w:rPr>
      </w:pPr>
    </w:p>
    <w:p w:rsidR="00093ADA" w:rsidRPr="004156DC"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Про строки, у які контролюючий орган розглядає скаргу платника податків</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нагадує, що контролюючий орган, який розглядає скаргу платника податків, зобов’язаний прийняти вмотивоване рішення та надіслати його протягом 20 календарних днів, наступних за днем отримання скарги, на адресу платника податків засобами поштового зв’язку (з повідомленням про вручення) чи електронного зв’язку (з дотриманням вимог, визначених п. 42.4 ст. 42 Податкового кодексу України від 02 грудня 2010 року № 2755-VІ зі змінами та доповненнями (далі – ПКУ)) або надати йому під розписку.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Норми встановлені п. 56.8 ст. 56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Згідно з п. 56.9 ст. 56 ПКУ керівник (його заступник або уповноважена особа) контролюючого органу може прийняти рішення про продовження строку розгляду скарги платника податків понад 20-денний строк, визначений у п. 56.8 ст. 56 ПКУ, але не більше 60 календарних днів, та письмово або в електронній формі засобами електронного зв’язку (з дотриманням вимог, визначених п. 42.4 ст. 42 ПКУ) повідомити про це платника податків до закінчення строку, визначеного у п. 56.8 ст. 56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Якщо вмотивоване рішення за скаргою платника податків не надсилається платнику податків протягом 20-денного строку або протягом строку, продовженого за рішенням керівника (його заступника або уповноваженої особи) контролюючого органу, така скарга вважається повністю задоволеною на користь платника податків з дня, наступного за останнім днем зазначених строків.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Скарга вважається також повністю задоволеною на користь платника податків, якщо рішення керівника (його заступника або уповноваженої особи) контролюючого органу про продовження строків її розгляду не було надіслано платнику податків до закінчення 20-денного строку, зазначеного в абзаці першому п. 56.9 ст. 56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Рішення центрального органу виконавчої влади, що реалізує державну податкову політику, та рішення центрального органу виконавчої влади, що реалізує державну митну політику, прийняті за розглядом скарги платника податків, є остаточними і не підлягають подальшому адміністративному оскарженню, але можуть бути оскаржені в судовому порядку (п. 56.10 ст. 56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Слід зазначити, що відповідно до п. 52 прим. 8 підрозділу 10 розділу ХХ «Перехідні положення» ПКУ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зупиняється перебіг строків, встановлених, зокрема, ст. 56 ПКУ (в частині процедури адміністративного оскарження) щодо скарг платників податків (крім скарг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що надійшли (надійдуть)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та/або які не розглянуті станом на 18 березня 2020 року. Таке зупинення не породжує будь-яких наслідків, передбачених ст. 56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 першого календарного дня місяця,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перебіг строків, які зупинялися відповідно до п. 52 прим. 8 підрозділу 10 розділу ХХ «Перехідні положення» ПКУ, продовжується з урахуванням часу, що минув до такого зупинення. </w:t>
      </w:r>
    </w:p>
    <w:p w:rsidR="00093ADA" w:rsidRPr="007573C0" w:rsidRDefault="00093ADA" w:rsidP="004156DC">
      <w:pPr>
        <w:pStyle w:val="a4"/>
        <w:spacing w:before="0" w:beforeAutospacing="0" w:after="0" w:afterAutospacing="0"/>
        <w:jc w:val="both"/>
        <w:rPr>
          <w:sz w:val="20"/>
          <w:szCs w:val="20"/>
        </w:rPr>
      </w:pPr>
      <w:r w:rsidRPr="007573C0">
        <w:rPr>
          <w:rStyle w:val="a6"/>
          <w:sz w:val="20"/>
          <w:szCs w:val="20"/>
        </w:rPr>
        <w:t> </w:t>
      </w: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2"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3"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4"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Про перехід з програмного забезпечення ПРРО, яке надається ДПС, на ПЗ, розроблене іншими виробниками</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доводить до відома платників, які застосовують програмні реєстратори розрахункових операцій (далі – ПРРО), що з метою переходу з програмного забезпечення (далі – ПЗ) ПРРО, яке надається ДПС України на безоплатній основі (як і будь-якого іншого ПЗ) на ПЗ інших виробників (комерційних), суб’єкту господарювання необхідно закрити зміну на такому ПРРО, здійснити налаштування іншого ПЗ та розпочати роботу.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5"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6"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7"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Чи має право юридична особа – платник єдиного податку третьої групи бути управителем майна?</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що правові засади операцій по управлінню майном регламентуються Цивільним кодексом України від 16 січня 2003 року № 435-IV із змінами та доповненнями (далі –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Згідно з частиною першою ст. 1029 ЦКУ за договором управління майном 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Предметом договору управління майном можуть бути підприємство як єдиний майновий комплекс, нерухома річ, цінні папери, майнові права та інше майно (п. 1 ст. 1030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Майно, передане в управління, має обліковуватися в управителя на окремому балансі, і щодо нього ведеться окремий облік. Розрахунки, пов’язані з управлінням майном, здійснюються на окремому банківському рахунку (п. 3 ст. 1030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Майно, набуте управителем у результаті управління майном, включається до складу отриманого в управління майна (п. 4 ст. 1030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Управитель, якщо це визначено договором про управління майном, є довірчим власником цього майна, яким він володіє, користується і розпоряджається відповідно до закону та договору управління майном. Договір про управління майном не тягне за собою переходу права власності до управителя на майно, передане в управління (п. 5 ст. 1033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Договір управляння майном укладається в письмовій формі та підлягає нотаріальному посвідченню (ст. 1031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Управитель має право на плату, встановлену договором, а також на відшкодування необхідних витрат, зроблених ним у зв’язку з управлінням майном, безпосередньо з доходів від використання майна, переданого в управління (ст. 1042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Пунктом 64.6 ст. 64 Податкового кодексу України (далі – ПКУ) договори управління майном (крім договорів щодо операцій, визначених у другому реченні абзацу другого п. п. 5 п. 180.1 ст. 180 ПКУ), на які поширюються особливості податкового обліку та оподаткування діяльності за такими договорами (угодами), визначені ПКУ, повинні перебувати на обліку у контролюючих органах.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Взяття на облік договору здійснюється шляхом додаткового взяття на облік управителя майна як платника податків – відповідального за утримання та внесення податків до бюджету під час виконання договору.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Управителям майна при взятті на облік договорів управління майном контролюючими органами надається Реєстраційний (обліковий) номер платника податків, який є податковим номером платника податків (п. п. 2 п. 2.4 розділу ІІ Порядку обліку платників податків і зборів, затвердженого наказом Міністерства фінансів України від 09.12.2011 № 1588 із змінами та доповненнями (далі – Порядок № 1588)).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Підставою для взяття на облік договору є прийняття контролюючим органом рішення про реєстрацію платником ПДВ управителя майна та отримання документів, визначених п. 4.7 розділу IV Порядку № 1588.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Пунктом 4.7 розділу IV Порядку № 1588 визначено, що для взяття на облік договору управління майном управитель майна до контролюючого органу за своїм основним місцем обліку документи подає одночасно із реєстраційною заявою платника ПДВ.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Крім цього, поняття «управитель майна» може розглядатися в контексті укладання договору послуг, згідно з яким надаються послуги з управління об’єктом нерухомості та певну винагороду. При цьому управитель майна за договором послуг не має права укладати договори від імені власника майна. Всі договори укладаються самим власником або його представником.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Отже, юридична особа – платник єдиного податку третьої групи має право бути управителем майна згідно з договором управління майном за умови дотримання вимог ПКУ (в частині взяття договору на облік, </w:t>
      </w:r>
      <w:r w:rsidRPr="007573C0">
        <w:rPr>
          <w:sz w:val="20"/>
          <w:szCs w:val="20"/>
        </w:rPr>
        <w:lastRenderedPageBreak/>
        <w:t xml:space="preserve">реєстрації управителя платником ПДВ та застосування ставки єдиного податку у розмірі 3 відсотки доходу), або згідно з договором надання послуг з управління майном.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8"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49"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0"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Фізособа придбала та продала об’єкт нерухомості в межах одного місяця: що з податком на нерухомість?</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повідомляє, що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Норми передбачені п. п. 266.3.2 п. 266.3 ст. 266 Податкового кодексу України (далі –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Згідно з п. п. 266.8.1 п. 266.8 ст. 266 ПКУ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Статтею 655 Цивільного кодексу України від 16 січня 2003 року № 435-IV (далі – ЦКУ) визначено, що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Договір купівлі-продажу, зокрема житлового будинку (квартири) або іншого нерухомого майна укладається у письмовій формі і підлягає нотаріальному посвідченню, крім договорів купівлі-продажу майна, що перебуває в податковій заставі (ст. 657 ЦКУ).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Отже, якщо фізична особа придбала та продала об’єкт нерухомості в межах одного місяця, то за наявності документального підтвердження, що засвідчує перехід прав власності від продавця до покупця (договір купівлі-продажу тощо), податок на нерухоме майно, відмінне від земельної ділянки, за такий об’єкт контролюючими органами не нараховується.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1"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2"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3"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У рамках кампанії одноразового (спеціального) добровільного декларування до сплати задекларовано понад 4,5 млн гривень</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що ДПС України на офіційному вебпорталі за посиланням </w:t>
      </w:r>
      <w:hyperlink r:id="rId54" w:history="1">
        <w:r w:rsidRPr="007573C0">
          <w:rPr>
            <w:rStyle w:val="a3"/>
            <w:sz w:val="20"/>
            <w:szCs w:val="20"/>
          </w:rPr>
          <w:t>https://tax.gov.ua/media-tsentr/novini/511788.html</w:t>
        </w:r>
      </w:hyperlink>
      <w:r w:rsidRPr="007573C0">
        <w:rPr>
          <w:sz w:val="20"/>
          <w:szCs w:val="20"/>
        </w:rPr>
        <w:t xml:space="preserve"> повідомила.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Триває кампанія одноразового (спеціального) добровільного декларування активів фізичних осіб, яка розпочалась 1 вересня 2021 року.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 початку кампанії громадянами України задекларовано до сплати понад 4,5 млн гривень.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Нагадаємо, що громадяни України, які мають активи, що не були оподатковані належним чином, можуть добровільно пройти одноразове (спеціальне) декларування, сплатити одноразовий збір та легалізувати такі активи. Податкова амністія розповсюджується, зокрема, на такі активи у вигляді грошових коштів, валютних цінностей, цінних паперів, рухомого та нерухомого майна в Україні та закордоном.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Одноразове добровільне декларування доходів є правом, а не обовʼязком громадянина. Виключно за власним бажанням особа може задекларувати свої активи, які раніше не були оподатковані.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Декларація подається до Державної податкової служби України безпосередньо платниками через Електронний кабінет.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До подання одноразової декларації платник має розмістити кошти в національній або іноземній валютах на спеціальному рахунку, що може бути відкритий в банках України.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Детальніше з порядком одноразового (спеціального) добровільного декларування можна ознайомитися </w:t>
      </w:r>
      <w:r w:rsidRPr="007573C0">
        <w:rPr>
          <w:rStyle w:val="a5"/>
          <w:sz w:val="20"/>
          <w:szCs w:val="20"/>
        </w:rPr>
        <w:t>тут</w:t>
      </w:r>
      <w:r w:rsidRPr="007573C0">
        <w:rPr>
          <w:sz w:val="20"/>
          <w:szCs w:val="20"/>
        </w:rPr>
        <w:t xml:space="preserve">: </w:t>
      </w:r>
      <w:hyperlink r:id="rId55" w:history="1">
        <w:r w:rsidRPr="007573C0">
          <w:rPr>
            <w:rStyle w:val="a3"/>
            <w:sz w:val="20"/>
            <w:szCs w:val="20"/>
          </w:rPr>
          <w:t>https://tax.gov.ua/baneryi/odnorazove-dobrovilne-deklaruvannya</w:t>
        </w:r>
      </w:hyperlink>
      <w:r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6"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7"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8"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Про порядок сплати податкового зобов’язання з податку на прибуток при виплаті дивідендів</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Головне управління ДПС у Дніпропетровській області звертає увагу, що порядок сплати податкового зобов’язання з податку на прибуток при виплаті дивідендів встановлений у п. 57.1 прим. 1 ст. 57 Податкового кодексу України (далі –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прийняття рішення щодо виплати дивідендів платник податку на прибуток - емітент корпоративних прав, на які нараховуються дивіденди, проводить зазначені виплати власнику таких корпоративних прав незалежно від того, чи є оподатковуваний прибуток, розрахований за правилами, визначеними ст. 137 ПКУ (п. п. 57.1 прим. 1.1 п. 57.1 прим. 1 ст. 57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Підпунктом 57.1 прим. 1.2 п. 57.1 прим. 1 ст. 57 ПКУ встановлено, що крім випадків, передбачених п. п. 57.1 прим. 1.3 п. 57.1 прим. 1 ст. 57 ПКУ, емітент корпоративних прав, який приймає рішення про виплату дивідендів своїм акціонерам (власникам), нараховує та вносить до бюджету авансовий внесок із податку на прибуток.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Авансовий внесок розраховується з суми перевищення дивідендів, що підлягають виплаті, над значенням об’єкта оподаткування за відповідний податковий (звітний) рік, за результатами якого виплачуються дивіденди, грошове зобов’язання щодо якого погашене. У разі наявності непогашеного грошового зобов’язання авансовий внесок розраховується зі всієї суми дивідендів, що підлягають виплаті. Авансовий внесок обчислюється за ставкою, встановленою п. 136.1 ст. 136 ПКУ. Сума дивідендів, що підлягає виплаті, не зменшується на суму авансового внеску.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При цьому у разі якщо дивіденди виплачуються за неповний календарний рік, то для обрахунку суми зазначеного перевищення використовується значення об’єкту оподаткування, обчислене пропорційно кількості місяців, за які сплачуються дивіденди. Зазначений авансовий внесок вноситься до бюджету до/або одночасно з виплатою дивідендів.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Сума попередньо сплачених протягом податкового (звітного) періоду авансових внесків з податку на прибуток під час виплати дивідендів підлягає зарахуванню у зменшення нарахованого податкового зобов’язання з податку на прибуток, задекларованого у податковій декларації за такий податковий (звітний) період.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якщо сума авансового внеску, попередньо сплаченого протягом звітного періоду, перевищує суму нарахованого податкового зобов’язання підприємством - емітентом корпоративних прав за такий податковий (звітний) період, сума такого перевищення переноситься у зменшення податкових зобов’язань наступних податкових (звітних) періодів до повного його погашення, а під час отримання від’ємного значення об’єкта оподаткування такого наступного періоду - на зменшення податкових зобов’язань майбутніх податкових (звітних) періодів до повного його погашення.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Сума сплачених авансових внесків з податку на прибуток при виплаті дивідендів не підлягає поверненню платнику податків або зарахуванню в рахунок погашення грошових зобов’язань з інших податків і зборів (обов’язкових платежів).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виплати дивідендів у формі, відмінній від грошової (крім випадків, передбачених п. п. 57.1 прим. 1.3 п. 57.1 прим. 1 ст. 57 ПКУ), базою для нарахування авансового внеску згідно з абзацами першим та другим цього підпункту є вартість такої виплати, визначена у рішенні про виплату дивідендів, або вартість такої виплати, розрахована відповідно до принципу «витягнутої руки» в операціях, визнаних відповідно до ст. 39 ПКУ контрольованими. Обов’язок з нарахування та сплати авансового внеску з податку за визначеною п. 136.1 ст. 136 ПКУ ставкою покладається на будь-якого емітента корпоративних прав (крім платників єдиного податку), що є резидентом, незалежно від того, чи користується такий емітент пільгами із сплати податку, передбаченими ПКУ, чи у вигляді застосування ставки податку іншої, ніж встановлена п. 136.1 ст. 136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Положення п. 57.1 прим. 1.1 ст. 57 ПКУ поширюється також на державні некорпоратизовані, казенні або комунальні підприємства, які зараховують суми дивідендів у розмірі, встановленому органом виконавчої влади, до сфери управління якого належать такі підприємства, відповідно до державного або місцевого бюджету.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При цьому якщо платіж особою називається дивідендом, такий платіж оподатковується під час виплати згідно з нормами, визначеними згідно з положеннями п. 57.1 прим. 1 ст. 57 ПКУ, незалежно від того, чи є особа платником податку.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Підпунктом 57.1 прим. 1.5 п. 57.1 прим. 1 ст. 57 ПКУ визначено, що авансовий внесок з податку на прибуток, сплачений у зв’язку з нарахуванням/сплатою дивідендів, є невід’ємною частиною податку на прибуток та не може розцінюватися як податок, який справляється під час репатріації дивідендів (їх сплаті на користь нерезидентів) відповідно до п. 141.4 ст. 141 ПКУ або міжнародних договорів України.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59"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0"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1"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 xml:space="preserve">Платникам податку на прибуток про коди бюджетної класифікації, за якими сплачується податок на прибуток підприємств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Головне управління ДПС у Дніпропетровській області нагадує,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Зокрема для сплати податку на прибуток підприємств визначено код бюджетної класифікації 11020000, а саме: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11020100 – податок на прибуток підприємств і організацій, що перебувають у державній власності;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11020200 – податок на прибуток підприємств та фінансових установ комунальної власності;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11020300 – податок на прибуток підприємств, створених за участю іноземних інвесторів;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11020400 – податок на прибуток від здійснення букмекерської діяльності та азартних ігор (у тому числі казино);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11020500 – податок на прибуток іноземних юридичних осіб;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11020600 – податок на прибуток банківських організацій, включаючи філіали аналогічних організацій, розташованих на території України;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11020700 – податок на прибуток страхових організацій, включаючи філіали аналогічних організацій, розташованих на території України;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11021000 – податок на прибуток підприємств, який сплачують інші платники;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11021300 – реструктурована сума заборгованості податку на прибуток підприємств і організацій;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11021600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11021900 – надходження від погашення податкового боргу, в тому числі реструктуризованого або розстроченого (відстроченого), з податку на прибуток підприємств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11022000 – податок на прибуток підприємств електроенергетичної, нафтогазової, вугільної галузей, що залучається до розрахунків на виконання положень частини другої ст. 21 Закону України від 07 грудня 2017 року № 2246-VIII «Про Державний бюджет України на 2018 рік» зі змінами та доповненнями;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11022200 – надходження від погашення податкового боргу, в тому числі реструктуризованого або розстроченого (відстроченого), з податку на прибуток підприємств, що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та нараховані суми податку на прибуток таких підприємств, які виникають після проведення розрахунків по субвенції з державного бюджету місцевим бюджетам, визначеній п. 16 ст. 14 та ст. 32 Закону України від 28 грудня 2014 року № 80-VIII «Про Державний бюджет України на 2015 рік» зі змінами та доповненнями;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11022100 – податкова заборгованість з податку на прибуток підприємств (крім підприємств комунальної власності), додаткові податкові зобов’язання з цього податку, розстрочені податкові зобов’язання НАК «Нафтогаз України» та її підприємств з податку на прибуток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11024700 – податок на дохід, який сплачують суб’єкти, що здійснюють діяльність з випуску та проведення лотерей;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11024800 – податок на дохід, отриманий від букмекерської діяльності та азартних ігор (у тому числі казино).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Отримати інформацію стосовно банківських реквізитів для сплати податку на прибуток платники мають можливість в меню «Стан розрахунків з бюджетом» приватної частини Електронного кабінету.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Вхід до Електронного кабінету здійснюється за адресою: </w:t>
      </w:r>
      <w:hyperlink r:id="rId62" w:history="1">
        <w:r w:rsidRPr="007573C0">
          <w:rPr>
            <w:rStyle w:val="a3"/>
            <w:sz w:val="20"/>
            <w:szCs w:val="20"/>
          </w:rPr>
          <w:t>http://cabinet.tax.gov.ua</w:t>
        </w:r>
      </w:hyperlink>
      <w:r w:rsidRPr="007573C0">
        <w:rPr>
          <w:sz w:val="20"/>
          <w:szCs w:val="20"/>
        </w:rPr>
        <w:t xml:space="preserve">, а також через офіційний вебпортал ДПС. </w:t>
      </w:r>
    </w:p>
    <w:p w:rsidR="00093ADA" w:rsidRPr="007573C0" w:rsidRDefault="00093ADA" w:rsidP="004156DC">
      <w:pPr>
        <w:pStyle w:val="a4"/>
        <w:spacing w:before="0" w:beforeAutospacing="0" w:after="0" w:afterAutospacing="0"/>
        <w:jc w:val="both"/>
        <w:rPr>
          <w:sz w:val="20"/>
          <w:szCs w:val="20"/>
        </w:rPr>
      </w:pPr>
      <w:r w:rsidRPr="007573C0">
        <w:rPr>
          <w:sz w:val="20"/>
          <w:szCs w:val="20"/>
        </w:rPr>
        <w:t>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вебпорталі ДПС в рубриці Головна/Бюджетні рахунки (</w:t>
      </w:r>
      <w:hyperlink r:id="rId63" w:history="1">
        <w:r w:rsidRPr="007573C0">
          <w:rPr>
            <w:rStyle w:val="a3"/>
            <w:sz w:val="20"/>
            <w:szCs w:val="20"/>
          </w:rPr>
          <w:t>https://tax.gov.ua/byudjetni-rahunki/</w:t>
        </w:r>
      </w:hyperlink>
      <w:r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Поряд з цим платники податку на прибуток (у т. ч. новостворені) для отримання банківських реквізитів з метою сплати податку на прибуток можуть звернутися до органу ДПС за основним місцем обліку. </w:t>
      </w:r>
    </w:p>
    <w:p w:rsidR="00093ADA" w:rsidRPr="007573C0" w:rsidRDefault="00093ADA" w:rsidP="004156DC">
      <w:pPr>
        <w:pStyle w:val="a4"/>
        <w:spacing w:before="0" w:beforeAutospacing="0" w:after="0" w:afterAutospacing="0"/>
        <w:jc w:val="both"/>
        <w:rPr>
          <w:sz w:val="20"/>
          <w:szCs w:val="20"/>
        </w:rPr>
      </w:pPr>
      <w:r w:rsidRPr="007573C0">
        <w:rPr>
          <w:rStyle w:val="a6"/>
          <w:sz w:val="20"/>
          <w:szCs w:val="20"/>
        </w:rPr>
        <w:t> </w:t>
      </w:r>
      <w:r w:rsidRPr="007573C0">
        <w:rPr>
          <w:sz w:val="20"/>
          <w:szCs w:val="20"/>
        </w:rPr>
        <w:t xml:space="preserve">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4"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5"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6"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 w:rsidR="00093ADA" w:rsidRPr="007573C0" w:rsidRDefault="00093ADA" w:rsidP="004156DC">
      <w:pPr>
        <w:pStyle w:val="1"/>
        <w:spacing w:before="0" w:beforeAutospacing="0" w:after="0" w:afterAutospacing="0"/>
        <w:rPr>
          <w:sz w:val="20"/>
          <w:szCs w:val="20"/>
        </w:rPr>
      </w:pPr>
      <w:r w:rsidRPr="007573C0">
        <w:rPr>
          <w:sz w:val="20"/>
          <w:szCs w:val="20"/>
        </w:rPr>
        <w:t>Запобігання корупції: заходи зовнішнього та самостійного врегулювання конфлікту інтересів</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Головне управління ДПС у Дніпропетровській області нагадує, що відповідно до норм Закону України від 14 жовтня 2014 року № 1700-VII «Про запобігання корупції» із змінами та доповненнями (далі – Закон № 1700):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потенційний конфлікт інтересів – це наявність у особи, уповноваженої на виконання функцій держави або місцевого самоврядування (далі – особа), приватного інтересу </w:t>
      </w:r>
      <w:r w:rsidRPr="007573C0">
        <w:rPr>
          <w:rStyle w:val="a6"/>
          <w:sz w:val="20"/>
          <w:szCs w:val="20"/>
        </w:rPr>
        <w:t>(будь-якого майнового чи немайнового інтересу особи, у тому числі зумовлений особистими, дружніми чи іншими позаслужбовими стосунками з фізичними чи юридичними особами, у тому числі тими, що виникають у зв’язку з членством або діяльністю в громадських, політичних, релігійних чи інших організаціях)</w:t>
      </w:r>
      <w:r w:rsidRPr="007573C0">
        <w:rPr>
          <w:sz w:val="20"/>
          <w:szCs w:val="20"/>
        </w:rPr>
        <w:t xml:space="preserve">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реальний конфлікт інтересів – це суперечність між приватним інтересом особи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та її зазначених повноважень.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Статтею 29 розділу V «Запобігання та врегулювання конфлікту інтересів» Закону № 1700 встановлено, що зовнішнє врегулювання конфлікту інтересів здійснюється шляхом: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2) застосування зовнішнього контролю за виконанням особою відповідного завдання, вчиненням нею певних дій чи прийняття рішень;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3) обмеження доступу особи до певної інформації;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4) перегляду обсягу службових повноважень особи;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5) переведення особи на іншу посаду;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6) звільнення особи.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При цьому,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7"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68" w:history="1">
        <w:r w:rsidR="00093ADA" w:rsidRPr="007573C0">
          <w:rPr>
            <w:rStyle w:val="a3"/>
            <w:sz w:val="20"/>
            <w:szCs w:val="20"/>
          </w:rPr>
          <w:t>https://www.facebook.com/tax.dnipropetrovsk/</w:t>
        </w:r>
      </w:hyperlink>
      <w:r w:rsidR="00093ADA" w:rsidRPr="007573C0">
        <w:rPr>
          <w:sz w:val="20"/>
          <w:szCs w:val="20"/>
        </w:rPr>
        <w:t xml:space="preserve">; </w:t>
      </w:r>
    </w:p>
    <w:p w:rsidR="00093ADA" w:rsidRPr="00BA5EFD" w:rsidRDefault="006C5D40" w:rsidP="004156DC">
      <w:pPr>
        <w:pStyle w:val="a4"/>
        <w:spacing w:before="0" w:beforeAutospacing="0" w:after="0" w:afterAutospacing="0"/>
        <w:jc w:val="both"/>
        <w:rPr>
          <w:sz w:val="20"/>
          <w:szCs w:val="20"/>
        </w:rPr>
      </w:pPr>
      <w:hyperlink r:id="rId69"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7573C0" w:rsidRDefault="00093ADA" w:rsidP="004156DC">
      <w:pPr>
        <w:pStyle w:val="1"/>
        <w:spacing w:before="0" w:beforeAutospacing="0" w:after="0" w:afterAutospacing="0"/>
        <w:rPr>
          <w:sz w:val="20"/>
          <w:szCs w:val="20"/>
        </w:rPr>
      </w:pPr>
      <w:r w:rsidRPr="007573C0">
        <w:rPr>
          <w:sz w:val="20"/>
          <w:szCs w:val="20"/>
        </w:rPr>
        <w:t>Які строки проведення виїзних (невиїзних) планових та позапланових перевірок?</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нагадує, що контролюючі органи мають право проводити камеральні, документальні (планові або позапланові; виїзні або невиїзні) та фактичні перевірки.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Норми передбачені абзацами першим і другим п. 75.1 ст. 75 Податкового кодексу України (далі –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Камеральні та документальні перевірки проводяться контролюючими органами в межах їх повноважень виключно у випадках та у порядку, встановлених ПКУ, а фактичні перевірки – ПКУ та іншими законами України, контроль за дотриманням яких покладено на контролюючі органи.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Строки проведення документальної планової перевірки встановлені ст. 82 ПКУ (п. 77.7 ст. 77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Строки проведення документальної позапланової перевірки встановлені ст. 82 ПКУ (п. 78.6 ст. 78 ПКУ).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Відповідно до п. 82.1 ст. 82 ПКУ тривалість перевірок, визначених у ст. 77 ПКУ, не повинна перевищувати 30 робочих днів для великих платників податків, щодо суб’єктів малого підприємництва – 10 робочих днів, інших платників податків – 20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Продовження строків проведення перевірок, визначених у ст. 77 ПКУ, можливе за рішенням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Згідно з абзацами першим – восьмим п. 82.2 ст. 82 ПКУ тривалість перевірок, визначених у ст. 78 ПКУ, не повинна перевищувати 15 робочих днів для великих платників податків, щодо суб’єктів малого підприємництва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цього пункту, – 3 робочі дні, інших платників податків – 10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Продовження строків проведення перевірок, визначених у ст. 78 ПКУ, можливе за рішенням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Документальна позапланова перевірка з підстав, визначених у п. п. 78.1.7 п. 78.1 ст. 78 ПКУ, для фізичних осіб – підприємців, які не мають найманих працівників, проводиться у строк, визначений абзацом першим п. 82.2 ст. 82 ПКУ, за наявності за два останні календарні роки одночасно таких умов: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платником податку подано податкову декларацію про відсутність доходів від провадження господарської діяльності;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платник податку не зареєстрований як платник податку на додану вартість; </w:t>
      </w:r>
    </w:p>
    <w:p w:rsidR="00093ADA" w:rsidRPr="007573C0" w:rsidRDefault="00093ADA" w:rsidP="004156DC">
      <w:pPr>
        <w:pStyle w:val="a4"/>
        <w:spacing w:before="0" w:beforeAutospacing="0" w:after="0" w:afterAutospacing="0"/>
        <w:jc w:val="both"/>
        <w:rPr>
          <w:sz w:val="20"/>
          <w:szCs w:val="20"/>
        </w:rPr>
      </w:pPr>
      <w:r w:rsidRPr="007573C0">
        <w:rPr>
          <w:sz w:val="20"/>
          <w:szCs w:val="20"/>
        </w:rPr>
        <w:lastRenderedPageBreak/>
        <w:t xml:space="preserve">► в контролюючих органах відсутня податкова інформація щодо: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використання платником податку найманої праці фізичних осіб;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 відкритих платником податку рахунків у банках та інших фінансових установах.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Отже, тривалість документальної планової перевірки не повинна перевищувати 30 робочих днів для великих платників податків, щодо суб’єктів малого підприємництва – 10 робочих днів, інших платників податків – 20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Продовження строків проведення документальної планової перевірки можливе за рішенням керівника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Тривалість документальної позапланової перевірки не повинна перевищувати 15 робочих днів для великих платників податків, щодо суб’єктів малого підприємництва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п. 82.2 ст. 82 ПКУ, – 3 робочі дні, інших платників податків – 10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Продовження строків проведення документальної позапланової перевірки можливе за рішенням керівника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 </w:t>
      </w:r>
    </w:p>
    <w:p w:rsidR="00093ADA" w:rsidRPr="007573C0" w:rsidRDefault="00093ADA" w:rsidP="004156DC">
      <w:pPr>
        <w:pStyle w:val="a4"/>
        <w:spacing w:before="0" w:beforeAutospacing="0" w:after="0" w:afterAutospacing="0"/>
        <w:jc w:val="both"/>
        <w:rPr>
          <w:sz w:val="20"/>
          <w:szCs w:val="20"/>
        </w:rPr>
      </w:pPr>
      <w:r w:rsidRPr="007573C0">
        <w:rPr>
          <w:sz w:val="20"/>
          <w:szCs w:val="20"/>
        </w:rPr>
        <w:t xml:space="preserve">У разі якщо під час проведення перевірки платник податків надає документи менше ніж за три робочі дні до дня її завершення або якщо надіслані у порядку, передбаченому абзацом першим п. 44.7 ст. 44 ПКУ, документи надійшли до контролюючого органу менше ніж за три робочі дні до дня завершення перевірки, проведення перевірки може бути додатково продовжено до строків, встановлених п. 82.2 ст. 82 ПКУ, на строк три робочі дні (абзац дев’ятий п. 82.2 ст. 82 ПКУ). </w:t>
      </w:r>
    </w:p>
    <w:p w:rsidR="00093ADA" w:rsidRPr="007573C0" w:rsidRDefault="00093ADA" w:rsidP="004156DC">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70"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4156DC">
      <w:pPr>
        <w:pStyle w:val="a4"/>
        <w:spacing w:before="0" w:beforeAutospacing="0" w:after="0" w:afterAutospacing="0"/>
        <w:jc w:val="both"/>
        <w:rPr>
          <w:sz w:val="20"/>
          <w:szCs w:val="20"/>
        </w:rPr>
      </w:pPr>
      <w:hyperlink r:id="rId71" w:history="1">
        <w:r w:rsidR="00093ADA" w:rsidRPr="007573C0">
          <w:rPr>
            <w:rStyle w:val="a3"/>
            <w:sz w:val="20"/>
            <w:szCs w:val="20"/>
          </w:rPr>
          <w:t>https://www.facebook.com/tax.dnipropetrovsk/</w:t>
        </w:r>
      </w:hyperlink>
      <w:r w:rsidR="00093ADA" w:rsidRPr="007573C0">
        <w:rPr>
          <w:sz w:val="20"/>
          <w:szCs w:val="20"/>
        </w:rPr>
        <w:t xml:space="preserve">; </w:t>
      </w:r>
    </w:p>
    <w:p w:rsidR="00093ADA" w:rsidRPr="00BA5EFD" w:rsidRDefault="006C5D40" w:rsidP="004156DC">
      <w:pPr>
        <w:pStyle w:val="a4"/>
        <w:spacing w:before="0" w:beforeAutospacing="0" w:after="0" w:afterAutospacing="0"/>
        <w:jc w:val="both"/>
        <w:rPr>
          <w:sz w:val="20"/>
          <w:szCs w:val="20"/>
        </w:rPr>
      </w:pPr>
      <w:hyperlink r:id="rId72"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BA5EFD" w:rsidRDefault="00093ADA" w:rsidP="004156DC">
      <w:pPr>
        <w:pStyle w:val="a4"/>
        <w:spacing w:before="0" w:beforeAutospacing="0" w:after="0" w:afterAutospacing="0"/>
        <w:jc w:val="both"/>
        <w:rPr>
          <w:sz w:val="20"/>
          <w:szCs w:val="20"/>
        </w:rPr>
      </w:pPr>
    </w:p>
    <w:p w:rsidR="00093ADA" w:rsidRPr="00717754" w:rsidRDefault="00093ADA" w:rsidP="00717754">
      <w:pPr>
        <w:pStyle w:val="1"/>
        <w:spacing w:before="0" w:beforeAutospacing="0" w:after="0" w:afterAutospacing="0"/>
        <w:rPr>
          <w:sz w:val="20"/>
          <w:szCs w:val="20"/>
        </w:rPr>
      </w:pPr>
      <w:r w:rsidRPr="00717754">
        <w:rPr>
          <w:sz w:val="20"/>
          <w:szCs w:val="20"/>
        </w:rPr>
        <w:t>Відбулась Zoom-нарада для представників ТГ та бізнесу Криворізького регіону</w:t>
      </w:r>
      <w:r w:rsidR="006C5D40" w:rsidRPr="006C5D4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73" o:title=""/>
          </v:shape>
        </w:pic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Побудова відкритого та якісного діалогу між податковою службою Дніпропетровщини і платниками податків – це важлива складова діяльності служби, направлена на збільшення доходів бюджетів.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Нові потреби економіки потребують відкритої та консолідованої роботи як органів влади так і представників територіальних громад (далі – ТГ) та бізнесу.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Сьогодні, 25 жовтня 2021 року, за організацією Головного управління ДПС у Дніпропетровській області (далі – ГУ ДПС) керівництвом ГУ ДПС проведено Zoom-нараду з представниками ТГ, бізнесу та фахівцями ГУ ДПС Криворізького регіону.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Нарада відбулась під головуванням заступника начальника Головного управління ДПС у Дніпропетровській області Леонова Валерія. </w:t>
      </w:r>
    </w:p>
    <w:p w:rsidR="00093ADA" w:rsidRPr="007573C0" w:rsidRDefault="00093ADA" w:rsidP="007E4C7B">
      <w:pPr>
        <w:pStyle w:val="a4"/>
        <w:spacing w:before="0" w:beforeAutospacing="0" w:after="0" w:afterAutospacing="0"/>
        <w:jc w:val="both"/>
        <w:rPr>
          <w:sz w:val="20"/>
          <w:szCs w:val="20"/>
        </w:rPr>
      </w:pP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У заході також прийняли участь: начальник управління з питань виявлення та опрацювання податкових ризиків ГУ ДПС Бохан Вікторія; начальник управління податкового адміністрування юридичних осіб ГУ ДПС Копильченко Тетяна; начальник управління з питань запобігання та виявлення корупції ГУ ДПС Орлов Ігор; начальник управління інформаційної взаємодії ГУ ДПС Осипова Манушак; начальник управління податкового адміністрування фізичних осіб ГУ ДПС Самсоненко Євгенія; начальник управління по роботі з податковим боргом ГУ ДПС Цегельська Світлана; заступник начальника управління електронних сервісів ГУ ДПС Пономарьова Світлана; начальники ДПІ і структурних підрозділів ГУ ДПС Криворізького регіону, представники ТГ та бізнесу Криворіжжя. </w:t>
      </w:r>
    </w:p>
    <w:p w:rsidR="00093ADA" w:rsidRPr="007573C0" w:rsidRDefault="00093ADA" w:rsidP="007E4C7B">
      <w:pPr>
        <w:pStyle w:val="a4"/>
        <w:spacing w:before="0" w:beforeAutospacing="0" w:after="0" w:afterAutospacing="0"/>
        <w:jc w:val="both"/>
        <w:rPr>
          <w:sz w:val="20"/>
          <w:szCs w:val="20"/>
        </w:rPr>
      </w:pP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Нарада присвячена обговоренню з представниками бізнесу та влади Криворізького регіону актуальних питань, що виникають під час адміністрування податків і зборів; питанням скорочення податкового боргу, розвитку сервісних можливостей ДПС, трудовим відносинам та ін.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Леонов Валерій зазначив, що традиція ефективної взаємодії з представниками ТГ і бізнесу забезпечує консолідовану співпрацю в боротьбі з тіньовою економікою.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«Детінізація економіки, боротьба з ухиленням від сплати податків, стимулювання розвитку легального бізнесу – головні пріоритети діяльності податкової служби Дніпропетровщини. Поглиблення співпраці з сумлінним бізнесом дозволить державі нові драйвери економічного зростання та інструменти наповнення бюджетів» – зазначив Леонов Валерій.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Заступник начальника ГУ ДПС зупинився на особливостях проведення кампанії одноразового (спеціального) добровільного декларування активів фізичних осіб, яка стартувала з 01 вересня 2021 року і триватиме до 01 вересня 2022 року.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Під час спілкування з представниками бізнесу Криворізького регіону Дніпропетровщини розглядались питання нарахування та сплати податків і зборів до бюджетів усіх рівнів, трудових відносин, питань </w:t>
      </w:r>
      <w:r w:rsidRPr="007573C0">
        <w:rPr>
          <w:sz w:val="20"/>
          <w:szCs w:val="20"/>
        </w:rPr>
        <w:lastRenderedPageBreak/>
        <w:t xml:space="preserve">повноти декларування ПДВ за вересень 2021 року та декларування податку на прибуток за підсумками роботи 3 кварталів 2021 року.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Під час заходу Пономарьова Світлана презентувала Інтерактивну податкову карту України та приділила особливу увагу розвитку електронних сервісів, зокрема «Електронного кабінету», механізму інформаційної взаємодії між органами, що контролюють справляння надходжень до бюджету, органами місцевого самоврядування через інформаційно-аналітичну систему управління плануванням та виконанням місцевих бюджетів «LOGIСA» та розгортанню додаткових відокремлених пунктів реєстрації у ЦОП Кваліфікованого надавача електронних довірчих послуг ДПС України.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Під час онлайн-наради Осипова Манушак повідомила про різні форми інформування суспільства з питань законодавства та діяльності податкових органів. Вона проінформувала про можливості офіційного вебпорталу «Державна податкова служба України», субсайту «Головне управління ДПС у Дніпропетровській області», сторінок «Державна податкова служба України» та «ДПС у Дніпропетровській області» соціальної мережі Фейсбук, які є офіційними джерелами інформації органів ДПС.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Самсоненко Євгенія зупинилась на такому важливому питанні, як недопустимість нарахування місячної заробітної плати суб’єктами господарювання нижче встановленого законодавством мінімуму.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Крім того, Копильченко Тетяна обговорила з представниками бізнесу питання  нарахування та сплати податків і зборів до бюджетів всіх рівнів.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Особливою темою для обговорення з керівниками підприємств Криворіжжя також були актуальні питання погашення боргу з податків і зборів та недоїмки з єдиного внеску.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Цегельська Світлана зробила акцент на позитивних моментах співпраці ГУ ДПС з ТГ у напрямку погашення заборгованості.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Змістовна комунікація податкових органів з бізнесом сприяє швидкій і ефективній взаємодії, що дозволяє глибше розуміти потреби бізнесу, оперативно вирішувати важливі невідкладні питання конкретного регіону, вибудовує взаємну довіру партнерів, якими є і податкова служба і представники бізнесу.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Крім того, під час спілкування провідних фахівців ГУ ДПС з працівниками структурних підрозділів Криворізького регіону з метою надання їм практичної допомоги за напрямками роботи, пов’язаними з виконанням функціональних обов’язків, акценти зроблено, зокрема, на організації ефективної системи адміністрування податків і зборів Криворіжжя, виконанні індикативних показників, забезпеченні надходжень по місцевих податках і зборах, у т. ч. з плати за землю, організації ефективної системи адміністрування податків і зборів Криворізького регіону.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З основними нормами дотримання державними службовцями антикорупційного законодавства під час виконання службових обов’язків ознайомив Орлов Iгор.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Очевидно, що економічно сильна держава неможлива без сумлінної сплати податків. Отже, співпраця податкових органів, ТГ і бізнесу забезпечує нові перспективи, формує нову культуру взаємозв’язків у суспільстві. В свою чергу партнерські відносини дають позитивний результат – надходження до бюджетів усіх рівнів зростають. </w:t>
      </w:r>
    </w:p>
    <w:p w:rsidR="00093ADA" w:rsidRPr="007573C0" w:rsidRDefault="00093ADA" w:rsidP="007E4C7B">
      <w:pPr>
        <w:pStyle w:val="a4"/>
        <w:spacing w:before="0" w:beforeAutospacing="0" w:after="0" w:afterAutospacing="0"/>
        <w:jc w:val="both"/>
        <w:rPr>
          <w:sz w:val="20"/>
          <w:szCs w:val="20"/>
        </w:rPr>
      </w:pPr>
      <w:r w:rsidRPr="007573C0">
        <w:rPr>
          <w:sz w:val="20"/>
          <w:szCs w:val="20"/>
        </w:rPr>
        <w:t xml:space="preserve">Нарада пройшла у форматі конструктивного діалогу, сторони обмінялися вважливою інформацією, отримали зворотній зв’язок. </w:t>
      </w:r>
    </w:p>
    <w:p w:rsidR="00093ADA" w:rsidRPr="007E4C7B" w:rsidRDefault="00093ADA" w:rsidP="004156DC">
      <w:pPr>
        <w:pStyle w:val="a4"/>
        <w:spacing w:before="0" w:beforeAutospacing="0" w:after="0" w:afterAutospacing="0"/>
        <w:jc w:val="both"/>
        <w:rPr>
          <w:sz w:val="20"/>
          <w:szCs w:val="20"/>
        </w:rPr>
      </w:pPr>
    </w:p>
    <w:p w:rsidR="00093ADA" w:rsidRPr="007573C0" w:rsidRDefault="00093ADA" w:rsidP="00E67AF9">
      <w:pPr>
        <w:pStyle w:val="1"/>
        <w:spacing w:before="0" w:beforeAutospacing="0" w:after="0" w:afterAutospacing="0"/>
        <w:rPr>
          <w:sz w:val="20"/>
          <w:szCs w:val="20"/>
        </w:rPr>
      </w:pPr>
      <w:r w:rsidRPr="007573C0">
        <w:rPr>
          <w:sz w:val="20"/>
          <w:szCs w:val="20"/>
        </w:rPr>
        <w:t>Щодо порядку та строків сплати єдиного податку</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інформує, що ДПС України на офіційному вебпорталі за посиланням </w:t>
      </w:r>
      <w:hyperlink r:id="rId74" w:history="1">
        <w:r w:rsidRPr="007573C0">
          <w:rPr>
            <w:rStyle w:val="a3"/>
            <w:sz w:val="20"/>
            <w:szCs w:val="20"/>
          </w:rPr>
          <w:t>https://tax.gov.ua/nove-pro-podatki--novini-/514984.html</w:t>
        </w:r>
      </w:hyperlink>
      <w:r w:rsidRPr="007573C0">
        <w:rPr>
          <w:sz w:val="20"/>
          <w:szCs w:val="20"/>
        </w:rPr>
        <w:t xml:space="preserve"> повідомила наступне.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Порядок нарахування та строки сплати єдиного податку врегульовані ст. 295 Податкового кодексу України (далі –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Згідно з п. 295.1 ст. 295 ПКУ </w:t>
      </w:r>
      <w:r w:rsidRPr="007573C0">
        <w:rPr>
          <w:sz w:val="20"/>
          <w:szCs w:val="20"/>
          <w:u w:val="single"/>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r w:rsidRPr="007573C0">
        <w:rPr>
          <w:sz w:val="20"/>
          <w:szCs w:val="20"/>
        </w:rPr>
        <w:t xml:space="preserve">.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(абз. другий п. 295.1 ст. 295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(п. 295.2 ст. 295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(п. 295.5 ст. 295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Згідно з п. 295.3 ст. 295 ПКУ </w:t>
      </w:r>
      <w:r w:rsidRPr="007573C0">
        <w:rPr>
          <w:sz w:val="20"/>
          <w:szCs w:val="20"/>
          <w:u w:val="single"/>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r w:rsidRPr="007573C0">
        <w:rPr>
          <w:sz w:val="20"/>
          <w:szCs w:val="20"/>
        </w:rPr>
        <w:t xml:space="preserve">.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Суми єдиного податку, сплачені відповідно до абзацу другого п. 295.1 і п. 295.5 ст. 295 ПКУ, підлягають зарахуванню в рахунок майбутніх платежів з цього податку за заявою платника єдиного податку (п. 295.6 ст. 295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lastRenderedPageBreak/>
        <w:t xml:space="preserve">Помилково та/або надміру сплачені суми єдиного податку підлягають поверненню платнику в порядку, встановленому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(п. 295.7 ст.295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Сплата єдиного податку платниками першої – третьої груп здійснюється за місцем податкової адреси (п. 295.4 ст. 295 ПКУ). </w:t>
      </w:r>
    </w:p>
    <w:p w:rsidR="00093ADA" w:rsidRPr="007573C0" w:rsidRDefault="00093ADA" w:rsidP="00E67AF9">
      <w:pPr>
        <w:pStyle w:val="a4"/>
        <w:spacing w:before="0" w:beforeAutospacing="0" w:after="0" w:afterAutospacing="0"/>
        <w:jc w:val="both"/>
        <w:rPr>
          <w:sz w:val="20"/>
          <w:szCs w:val="20"/>
        </w:rPr>
      </w:pPr>
      <w:r w:rsidRPr="007573C0">
        <w:rPr>
          <w:rStyle w:val="a6"/>
          <w:sz w:val="20"/>
          <w:szCs w:val="20"/>
        </w:rPr>
        <w:t> </w:t>
      </w:r>
      <w:r w:rsidRPr="007573C0">
        <w:rPr>
          <w:sz w:val="20"/>
          <w:szCs w:val="20"/>
        </w:rPr>
        <w:t xml:space="preserve"> </w:t>
      </w:r>
    </w:p>
    <w:p w:rsidR="00093ADA" w:rsidRPr="007573C0" w:rsidRDefault="00093ADA" w:rsidP="00E67AF9">
      <w:pPr>
        <w:pStyle w:val="a4"/>
        <w:spacing w:before="0" w:beforeAutospacing="0" w:after="0" w:afterAutospacing="0"/>
        <w:jc w:val="both"/>
        <w:rPr>
          <w:sz w:val="20"/>
          <w:szCs w:val="20"/>
        </w:rPr>
      </w:pPr>
      <w:r w:rsidRPr="007573C0">
        <w:rPr>
          <w:rStyle w:val="a6"/>
          <w:sz w:val="20"/>
          <w:szCs w:val="20"/>
        </w:rPr>
        <w:t>Додатково інформуємо:</w:t>
      </w:r>
      <w:r w:rsidRPr="007573C0">
        <w:rPr>
          <w:sz w:val="20"/>
          <w:szCs w:val="20"/>
        </w:rPr>
        <w:t xml:space="preserve">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нарахованого, обчисленого і сплаченого в порядку, визначеному законом для даної категорії платників (п. 296.2 ст. 296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Така податкова декларація подається,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(п. 296.3 ст. 296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Платники єдиного податку третьої групи (фізичні особи) у складі податкової декларації платника єдиного податку за IV квартал податкового (звітного) року подають також відомості про суми єдиного внеску, нарахованого, обчисленого і сплаченого в порядку, визначеному законом для даної категорії платників.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Податкова декларація подається до контролюючого органу за місцем податкової адреси (п. 296.4 ст. 296 ПКУ). </w:t>
      </w:r>
    </w:p>
    <w:p w:rsidR="00093ADA" w:rsidRPr="007573C0" w:rsidRDefault="00093ADA" w:rsidP="00E67AF9">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75"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76"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77"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Default="00093ADA" w:rsidP="004156DC">
      <w:pPr>
        <w:pStyle w:val="a4"/>
        <w:spacing w:before="0" w:beforeAutospacing="0" w:after="0" w:afterAutospacing="0"/>
        <w:jc w:val="both"/>
        <w:rPr>
          <w:sz w:val="20"/>
          <w:szCs w:val="20"/>
          <w:lang w:val="en-US"/>
        </w:rPr>
      </w:pPr>
    </w:p>
    <w:p w:rsidR="00093ADA" w:rsidRDefault="00093ADA" w:rsidP="004156DC">
      <w:pPr>
        <w:pStyle w:val="a4"/>
        <w:spacing w:before="0" w:beforeAutospacing="0" w:after="0" w:afterAutospacing="0"/>
        <w:jc w:val="both"/>
        <w:rPr>
          <w:sz w:val="20"/>
          <w:szCs w:val="20"/>
          <w:lang w:val="en-US"/>
        </w:rPr>
      </w:pPr>
    </w:p>
    <w:p w:rsidR="00093ADA" w:rsidRPr="007573C0" w:rsidRDefault="00093ADA" w:rsidP="00E67AF9">
      <w:pPr>
        <w:pStyle w:val="1"/>
        <w:spacing w:before="0" w:beforeAutospacing="0" w:after="0" w:afterAutospacing="0"/>
        <w:rPr>
          <w:sz w:val="20"/>
          <w:szCs w:val="20"/>
        </w:rPr>
      </w:pPr>
      <w:r w:rsidRPr="007573C0">
        <w:rPr>
          <w:sz w:val="20"/>
          <w:szCs w:val="20"/>
        </w:rPr>
        <w:t>Як заповнюється повідомлення про надання інформації щодо кваліфікованого електронного підпису за формою J(F)1391103?</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Головне управління ДПС у Дніпропетровській області звертає увагу, що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та від 05 жовтня 2017 року № 2155-VIII «Про електронні довірчі послуги» без укладення відповідного договору.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Норми визначені абзацом першим п. 42.6 ст. 42 Податкового кодексу України (далі –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Порядок обміну електронними документами платника податків та контролюючого органу затверджується центральним органом виконавчої влади, що забезпечує формування та реалізує державну фінансову політику (абзац десятий п. 42.6 ст. 42 ПКУ).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Абзацом першим п. 2 розділу ІІ Порядку обміну електронними документами з контролюючими органами, затвердженого наказом Міністерства фінансів України від 06.06.2017 № 557 (у редакції наказу Міністерства фінансів України від 01.06.2020 № 261) (далі – Порядок № 557), зокрема, визначено, що платник (автор)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 та з використанням засобу кваліфікованого електронного підпису чи печатки, керуючись Порядком № 557.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Для надання права підпису електронних документів іншим особам, яким делеговано право підпису, платник (автор) повідомляє про таких осіб контролюючий орган, на обліку в якому перебуває платник (автор), шляхом направлення повідомлення про надання інформації щодо кваліфікованого електронного підпису (далі – Повідомлення) в електронному вигляді за формою згідно з додатком 2 до Порядку № 557 (п. 3 розділу ІІІ Порядку № 557).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Пунктом 4 розділу ІІІ Порядку № 557, передбачено, зокрема, що до Повідомлення вноситься інформація про підписувача (підписувачів), якому (яким) надається право підпису електронних документів.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Перша квитанція, що формується за результатами зазначеної в п. 7 розділу II Порядку № 557 автоматизованої перевірки Повідомлення, надсилається платнику (автору) протягом двох годин з часу його отримання контролюючим органом, в іншому разі – протягом перших двох годин наступного операційного дня.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Друга квитанція формується автоматично та є підтвердженням про прийняття або повідомленням про неприйняття в контролюючому органі Повідомлення.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Повідомлення може бути направлено через: інформаційно-телекомунікаційну систему «Електронний кабінет» (далі – Електронний кабінет), програмне забезпечення «Спеціалізоване клієнтське програмне </w:t>
      </w:r>
      <w:r w:rsidRPr="007573C0">
        <w:rPr>
          <w:sz w:val="20"/>
          <w:szCs w:val="20"/>
        </w:rPr>
        <w:lastRenderedPageBreak/>
        <w:t xml:space="preserve">забезпечення для формування та подання звітності до «Єдиного вікна подання електронної звітності» або інше програмне забезпечення, яке використовує платник.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Вхід до Електронного кабінету здійснюється за адресою: </w:t>
      </w:r>
      <w:hyperlink r:id="rId78" w:history="1">
        <w:r w:rsidRPr="007573C0">
          <w:rPr>
            <w:rStyle w:val="a3"/>
            <w:sz w:val="20"/>
            <w:szCs w:val="20"/>
          </w:rPr>
          <w:t>https://cabinet.tax.gov.ua</w:t>
        </w:r>
      </w:hyperlink>
      <w:r w:rsidRPr="007573C0">
        <w:rPr>
          <w:sz w:val="20"/>
          <w:szCs w:val="20"/>
        </w:rPr>
        <w:t xml:space="preserve">, а також через офіційний вебпортал ДПС. Робота у приватній частині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 (далі – КЕП).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Платник (автор) має право отримати кваліфіковану електронну довірчу послугу у будь-якого кваліфікованого надавача електронних довірчих послуг (абзац третій п. 2 розділу ІІ Порядку № 557).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У розділі «Введення звітності» приватної частини (особистого кабінету) Електронного кабінету необхідно створити документ за формою J1391103 (для юридичних осіб) або F1391103 (для фізичних осіб).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При заповненні реквізитів Повідомлення, зокрема зазначається: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поточна дата та порядковий номер;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найменування (або прізвище, ім’я, по батькові (за наявності) для фізичних осіб) платника (автора);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код за ЄДРПОУ/реєстраційний номер облікової картки платника податків або серія (за наявності),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До табличної частини Повідомлення вноситься інформація: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прізвище, ім’я, по батькові (за наявності) відповідальної особи, якій надається право підпису електронних документів;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реєстраційний номер облікової картки платника податків або серія (за наявності),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посада фізичної особи, якій делеговано право підпису електронних документів;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тип підпису: Директор/Бухгалтер/Підпис податкових накладних/Печатка/ Технологічний сертифікат/Уповноважена особа;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ініціали та прізвище керівника;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 посада, ініціали та прізвище виконавця та контактний телефон.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При цьому у полі «Виконавець» при заповненні Повідомлення вказується особа, КЕП якої накладений на сформоване Повідомлення.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З метою недопущення помилок при заповненні повідомлення на панелі інструментів необхідно натиснути кнопку «Перевірка».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При відсутності помилок активується кнопка «Підписати». </w:t>
      </w:r>
    </w:p>
    <w:p w:rsidR="00093ADA" w:rsidRPr="007573C0" w:rsidRDefault="00093ADA" w:rsidP="00E67AF9">
      <w:pPr>
        <w:pStyle w:val="a4"/>
        <w:spacing w:before="0" w:beforeAutospacing="0" w:after="0" w:afterAutospacing="0"/>
        <w:jc w:val="both"/>
        <w:rPr>
          <w:sz w:val="20"/>
          <w:szCs w:val="20"/>
        </w:rPr>
      </w:pPr>
      <w:r w:rsidRPr="007573C0">
        <w:rPr>
          <w:sz w:val="20"/>
          <w:szCs w:val="20"/>
        </w:rPr>
        <w:t xml:space="preserve">На сформоване Повідомлення першими накладаються КЕП усіх осіб, включених до Повідомлення, у порядку черговості їх внесення до Повідомлення, після них – КЕП керівника і останньою – печатка (за наявності) (абзац перший п. 4 розділу ІІІ Порядку № 557). </w:t>
      </w:r>
    </w:p>
    <w:p w:rsidR="00093ADA" w:rsidRPr="007573C0" w:rsidRDefault="00093ADA" w:rsidP="00E67AF9">
      <w:pPr>
        <w:pStyle w:val="a4"/>
        <w:spacing w:before="0" w:beforeAutospacing="0" w:after="0" w:afterAutospacing="0"/>
        <w:jc w:val="both"/>
        <w:rPr>
          <w:sz w:val="20"/>
          <w:szCs w:val="20"/>
        </w:rPr>
      </w:pPr>
      <w:r w:rsidRPr="007573C0">
        <w:rPr>
          <w:rStyle w:val="a5"/>
          <w:i/>
          <w:iCs/>
          <w:sz w:val="20"/>
          <w:szCs w:val="20"/>
        </w:rPr>
        <w:t>Ми в інтернет-просторі, приєднуйтесь!</w:t>
      </w:r>
      <w:r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79" w:history="1">
        <w:r w:rsidR="00093ADA" w:rsidRPr="007573C0">
          <w:rPr>
            <w:rStyle w:val="a3"/>
            <w:sz w:val="20"/>
            <w:szCs w:val="20"/>
          </w:rPr>
          <w:t>https://dp.tax.gov.ua/</w:t>
        </w:r>
      </w:hyperlink>
      <w:r w:rsidR="00093ADA"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80" w:history="1">
        <w:r w:rsidR="00093ADA" w:rsidRPr="007573C0">
          <w:rPr>
            <w:rStyle w:val="a3"/>
            <w:sz w:val="20"/>
            <w:szCs w:val="20"/>
          </w:rPr>
          <w:t>https://www.facebook.com/tax.dnipropetrovsk/</w:t>
        </w:r>
      </w:hyperlink>
      <w:r w:rsidR="00093ADA" w:rsidRPr="007573C0">
        <w:rPr>
          <w:sz w:val="20"/>
          <w:szCs w:val="20"/>
        </w:rPr>
        <w:t xml:space="preserve">; </w:t>
      </w:r>
    </w:p>
    <w:p w:rsidR="00093ADA" w:rsidRPr="007573C0" w:rsidRDefault="006C5D40" w:rsidP="00E67AF9">
      <w:pPr>
        <w:pStyle w:val="a4"/>
        <w:spacing w:before="0" w:beforeAutospacing="0" w:after="0" w:afterAutospacing="0"/>
        <w:jc w:val="both"/>
        <w:rPr>
          <w:sz w:val="20"/>
          <w:szCs w:val="20"/>
        </w:rPr>
      </w:pPr>
      <w:hyperlink r:id="rId81" w:history="1">
        <w:r w:rsidR="00093ADA" w:rsidRPr="007573C0">
          <w:rPr>
            <w:rStyle w:val="a3"/>
            <w:sz w:val="20"/>
            <w:szCs w:val="20"/>
          </w:rPr>
          <w:t>https://www.youtube.com/channel/UCIxijADr1NbFo5dhZ3mQwVA</w:t>
        </w:r>
      </w:hyperlink>
      <w:r w:rsidR="00093ADA" w:rsidRPr="007573C0">
        <w:rPr>
          <w:sz w:val="20"/>
          <w:szCs w:val="20"/>
        </w:rPr>
        <w:t xml:space="preserve"> </w:t>
      </w:r>
    </w:p>
    <w:p w:rsidR="00093ADA" w:rsidRPr="00095D48" w:rsidRDefault="00093ADA" w:rsidP="004156DC">
      <w:pPr>
        <w:pStyle w:val="a4"/>
        <w:spacing w:before="0" w:beforeAutospacing="0" w:after="0" w:afterAutospacing="0"/>
        <w:jc w:val="both"/>
        <w:rPr>
          <w:sz w:val="20"/>
          <w:szCs w:val="20"/>
        </w:rPr>
      </w:pPr>
    </w:p>
    <w:p w:rsidR="00093ADA" w:rsidRPr="00095D48" w:rsidRDefault="00093ADA" w:rsidP="004156DC">
      <w:pPr>
        <w:pStyle w:val="a4"/>
        <w:spacing w:before="0" w:beforeAutospacing="0" w:after="0" w:afterAutospacing="0"/>
        <w:jc w:val="both"/>
        <w:rPr>
          <w:sz w:val="20"/>
          <w:szCs w:val="20"/>
        </w:rPr>
      </w:pPr>
    </w:p>
    <w:sectPr w:rsidR="00093ADA" w:rsidRPr="00095D48" w:rsidSect="0010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BA9"/>
    <w:rsid w:val="0002169C"/>
    <w:rsid w:val="00093ADA"/>
    <w:rsid w:val="00095D48"/>
    <w:rsid w:val="001049AF"/>
    <w:rsid w:val="004156DC"/>
    <w:rsid w:val="004E575C"/>
    <w:rsid w:val="0066304E"/>
    <w:rsid w:val="006C5D40"/>
    <w:rsid w:val="00717754"/>
    <w:rsid w:val="007573C0"/>
    <w:rsid w:val="007D330E"/>
    <w:rsid w:val="007E4C7B"/>
    <w:rsid w:val="00BA5EFD"/>
    <w:rsid w:val="00D000E2"/>
    <w:rsid w:val="00E67AF9"/>
    <w:rsid w:val="00FA6F82"/>
    <w:rsid w:val="00FB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DC"/>
    <w:rPr>
      <w:rFonts w:ascii="Times New Roman" w:eastAsia="Times New Roman" w:hAnsi="Times New Roman"/>
      <w:sz w:val="24"/>
      <w:szCs w:val="24"/>
    </w:rPr>
  </w:style>
  <w:style w:type="paragraph" w:styleId="1">
    <w:name w:val="heading 1"/>
    <w:basedOn w:val="a"/>
    <w:link w:val="10"/>
    <w:uiPriority w:val="99"/>
    <w:qFormat/>
    <w:rsid w:val="004156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56DC"/>
    <w:rPr>
      <w:rFonts w:ascii="Times New Roman" w:hAnsi="Times New Roman" w:cs="Times New Roman"/>
      <w:b/>
      <w:bCs/>
      <w:kern w:val="36"/>
      <w:sz w:val="48"/>
      <w:szCs w:val="48"/>
      <w:lang w:eastAsia="ru-RU"/>
    </w:rPr>
  </w:style>
  <w:style w:type="character" w:styleId="a3">
    <w:name w:val="Hyperlink"/>
    <w:basedOn w:val="a0"/>
    <w:uiPriority w:val="99"/>
    <w:rsid w:val="004156DC"/>
    <w:rPr>
      <w:rFonts w:cs="Times New Roman"/>
      <w:color w:val="0000FF"/>
      <w:u w:val="single"/>
    </w:rPr>
  </w:style>
  <w:style w:type="paragraph" w:styleId="a4">
    <w:name w:val="Normal (Web)"/>
    <w:basedOn w:val="a"/>
    <w:uiPriority w:val="99"/>
    <w:rsid w:val="004156DC"/>
    <w:pPr>
      <w:spacing w:before="100" w:beforeAutospacing="1" w:after="100" w:afterAutospacing="1"/>
    </w:pPr>
  </w:style>
  <w:style w:type="character" w:styleId="a5">
    <w:name w:val="Strong"/>
    <w:basedOn w:val="a0"/>
    <w:uiPriority w:val="99"/>
    <w:qFormat/>
    <w:rsid w:val="004156DC"/>
    <w:rPr>
      <w:rFonts w:cs="Times New Roman"/>
      <w:b/>
      <w:bCs/>
    </w:rPr>
  </w:style>
  <w:style w:type="character" w:styleId="a6">
    <w:name w:val="Emphasis"/>
    <w:basedOn w:val="a0"/>
    <w:uiPriority w:val="99"/>
    <w:qFormat/>
    <w:rsid w:val="004156DC"/>
    <w:rPr>
      <w:rFonts w:cs="Times New Roman"/>
      <w:i/>
      <w:iCs/>
    </w:rPr>
  </w:style>
  <w:style w:type="character" w:styleId="a7">
    <w:name w:val="FollowedHyperlink"/>
    <w:basedOn w:val="a0"/>
    <w:uiPriority w:val="99"/>
    <w:rsid w:val="0071775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IxijADr1NbFo5dhZ3mQwVA" TargetMode="External"/><Relationship Id="rId18" Type="http://schemas.openxmlformats.org/officeDocument/2006/relationships/hyperlink" Target="https://www.facebook.com/tax.dnipropetrovsk/" TargetMode="External"/><Relationship Id="rId26" Type="http://schemas.openxmlformats.org/officeDocument/2006/relationships/hyperlink" Target="https://www.youtube.com/channel/UCIxijADr1NbFo5dhZ3mQwVA" TargetMode="External"/><Relationship Id="rId39" Type="http://schemas.openxmlformats.org/officeDocument/2006/relationships/hyperlink" Target="https://dp.tax.gov.ua/" TargetMode="External"/><Relationship Id="rId21" Type="http://schemas.openxmlformats.org/officeDocument/2006/relationships/hyperlink" Target="https://dp.tax.gov.ua/" TargetMode="External"/><Relationship Id="rId34" Type="http://schemas.openxmlformats.org/officeDocument/2006/relationships/hyperlink" Target="https://www.facebook.com/tax.dnipropetrovsk/" TargetMode="External"/><Relationship Id="rId42" Type="http://schemas.openxmlformats.org/officeDocument/2006/relationships/hyperlink" Target="https://dp.tax.gov.ua/"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tax.gov.ua/baneryi/odnorazove-dobrovilne-deklaruvannya" TargetMode="External"/><Relationship Id="rId63" Type="http://schemas.openxmlformats.org/officeDocument/2006/relationships/hyperlink" Target="https://tax.gov.ua/byudjetni-rahunki/" TargetMode="External"/><Relationship Id="rId68" Type="http://schemas.openxmlformats.org/officeDocument/2006/relationships/hyperlink" Target="https://www.facebook.com/tax.dnipropetrovsk/" TargetMode="External"/><Relationship Id="rId76" Type="http://schemas.openxmlformats.org/officeDocument/2006/relationships/hyperlink" Target="https://www.facebook.com/tax.dnipropetrovsk/" TargetMode="External"/><Relationship Id="rId7" Type="http://schemas.openxmlformats.org/officeDocument/2006/relationships/hyperlink" Target="https://dp.tax.gov.ua/" TargetMode="External"/><Relationship Id="rId71" Type="http://schemas.openxmlformats.org/officeDocument/2006/relationships/hyperlink" Target="https://www.facebook.com/tax.dnipropetrovsk/" TargetMode="External"/><Relationship Id="rId2" Type="http://schemas.openxmlformats.org/officeDocument/2006/relationships/settings" Target="settings.xml"/><Relationship Id="rId16" Type="http://schemas.openxmlformats.org/officeDocument/2006/relationships/hyperlink" Target="https://www.youtube.com/channel/UCIxijADr1NbFo5dhZ3mQwVA" TargetMode="External"/><Relationship Id="rId29" Type="http://schemas.openxmlformats.org/officeDocument/2006/relationships/hyperlink" Target="https://dp.tax.gov.ua/" TargetMode="External"/><Relationship Id="rId11" Type="http://schemas.openxmlformats.org/officeDocument/2006/relationships/hyperlink" Target="https://dp.tax.gov.ua/" TargetMode="External"/><Relationship Id="rId24" Type="http://schemas.openxmlformats.org/officeDocument/2006/relationships/hyperlink" Target="https://dp.tax.gov.ua/" TargetMode="External"/><Relationship Id="rId32" Type="http://schemas.openxmlformats.org/officeDocument/2006/relationships/hyperlink" Target="https://tax.gov.ua/zakonodavstvo/podatkove-zakonodavstvo/nakazi/76437.html" TargetMode="External"/><Relationship Id="rId37" Type="http://schemas.openxmlformats.org/officeDocument/2006/relationships/hyperlink" Target="https://www.facebook.com/tax.dnipropetrovsk/" TargetMode="External"/><Relationship Id="rId40" Type="http://schemas.openxmlformats.org/officeDocument/2006/relationships/hyperlink" Target="https://www.facebook.com/tax.dnipropetrovsk/"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youtube.com/channel/UCIxijADr1NbFo5dhZ3mQwVA" TargetMode="External"/><Relationship Id="rId66" Type="http://schemas.openxmlformats.org/officeDocument/2006/relationships/hyperlink" Target="https://www.youtube.com/channel/UCIxijADr1NbFo5dhZ3mQwVA" TargetMode="External"/><Relationship Id="rId74" Type="http://schemas.openxmlformats.org/officeDocument/2006/relationships/hyperlink" Target="https://tax.gov.ua/nove-pro-podatki--novini-/514984.html" TargetMode="External"/><Relationship Id="rId79" Type="http://schemas.openxmlformats.org/officeDocument/2006/relationships/hyperlink" Target="https://dp.tax.gov.ua/" TargetMode="External"/><Relationship Id="rId5" Type="http://schemas.openxmlformats.org/officeDocument/2006/relationships/hyperlink" Target="https://www.facebook.com/tax.dnipropetrovsk/" TargetMode="External"/><Relationship Id="rId61" Type="http://schemas.openxmlformats.org/officeDocument/2006/relationships/hyperlink" Target="https://www.youtube.com/channel/UCIxijADr1NbFo5dhZ3mQwVA" TargetMode="External"/><Relationship Id="rId82" Type="http://schemas.openxmlformats.org/officeDocument/2006/relationships/fontTable" Target="fontTable.xml"/><Relationship Id="rId10" Type="http://schemas.openxmlformats.org/officeDocument/2006/relationships/hyperlink" Target="https://tax.gov.ua/nove-pro-podatki--novini-/511073.html" TargetMode="External"/><Relationship Id="rId19" Type="http://schemas.openxmlformats.org/officeDocument/2006/relationships/hyperlink" Target="https://www.youtube.com/channel/UCIxijADr1NbFo5dhZ3mQwVA" TargetMode="External"/><Relationship Id="rId31" Type="http://schemas.openxmlformats.org/officeDocument/2006/relationships/hyperlink" Target="https://www.youtube.com/channel/UCIxijADr1NbFo5dhZ3mQwVA"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www.facebook.com/tax.dnipropetrovsk/" TargetMode="External"/><Relationship Id="rId65" Type="http://schemas.openxmlformats.org/officeDocument/2006/relationships/hyperlink" Target="https://www.facebook.com/tax.dnipropetrovsk/" TargetMode="External"/><Relationship Id="rId73" Type="http://schemas.openxmlformats.org/officeDocument/2006/relationships/image" Target="media/image1.wmf"/><Relationship Id="rId78" Type="http://schemas.openxmlformats.org/officeDocument/2006/relationships/hyperlink" Target="https://cabinet.tax.gov.ua" TargetMode="External"/><Relationship Id="rId81" Type="http://schemas.openxmlformats.org/officeDocument/2006/relationships/hyperlink" Target="https://www.youtube.com/channel/UCIxijADr1NbFo5dhZ3mQwVA" TargetMode="Externa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dp.tax.gov.ua/" TargetMode="External"/><Relationship Id="rId22" Type="http://schemas.openxmlformats.org/officeDocument/2006/relationships/hyperlink" Target="https://www.facebook.com/tax.dnipropetrovsk/" TargetMode="External"/><Relationship Id="rId27" Type="http://schemas.openxmlformats.org/officeDocument/2006/relationships/hyperlink" Target="https://dp.tax.gov.ua/data/files/263161.doc" TargetMode="External"/><Relationship Id="rId30" Type="http://schemas.openxmlformats.org/officeDocument/2006/relationships/hyperlink" Target="https://www.facebook.com/tax.dnipropetrovsk/" TargetMode="External"/><Relationship Id="rId35" Type="http://schemas.openxmlformats.org/officeDocument/2006/relationships/hyperlink" Target="https://www.youtube.com/channel/UCIxijADr1NbFo5dhZ3mQwVA" TargetMode="External"/><Relationship Id="rId43" Type="http://schemas.openxmlformats.org/officeDocument/2006/relationships/hyperlink" Target="https://www.facebook.com/tax.dnipropetrovsk/" TargetMode="External"/><Relationship Id="rId48" Type="http://schemas.openxmlformats.org/officeDocument/2006/relationships/hyperlink" Target="https://dp.tax.gov.ua/" TargetMode="External"/><Relationship Id="rId56" Type="http://schemas.openxmlformats.org/officeDocument/2006/relationships/hyperlink" Target="https://dp.tax.gov.ua/" TargetMode="External"/><Relationship Id="rId64" Type="http://schemas.openxmlformats.org/officeDocument/2006/relationships/hyperlink" Target="https://dp.tax.gov.ua/" TargetMode="External"/><Relationship Id="rId69" Type="http://schemas.openxmlformats.org/officeDocument/2006/relationships/hyperlink" Target="https://www.youtube.com/channel/UCIxijADr1NbFo5dhZ3mQwVA" TargetMode="External"/><Relationship Id="rId77" Type="http://schemas.openxmlformats.org/officeDocument/2006/relationships/hyperlink" Target="https://www.youtube.com/channel/UCIxijADr1NbFo5dhZ3mQwVA" TargetMode="External"/><Relationship Id="rId8" Type="http://schemas.openxmlformats.org/officeDocument/2006/relationships/hyperlink" Target="https://www.facebook.com/tax.dnipropetrovsk/" TargetMode="External"/><Relationship Id="rId51" Type="http://schemas.openxmlformats.org/officeDocument/2006/relationships/hyperlink" Target="https://dp.tax.gov.ua/" TargetMode="External"/><Relationship Id="rId72" Type="http://schemas.openxmlformats.org/officeDocument/2006/relationships/hyperlink" Target="https://www.youtube.com/channel/UCIxijADr1NbFo5dhZ3mQwVA" TargetMode="External"/><Relationship Id="rId80" Type="http://schemas.openxmlformats.org/officeDocument/2006/relationships/hyperlink" Target="https://www.facebook.com/tax.dnipropetrovsk/" TargetMode="External"/><Relationship Id="rId3" Type="http://schemas.openxmlformats.org/officeDocument/2006/relationships/webSettings" Target="webSettings.xml"/><Relationship Id="rId12" Type="http://schemas.openxmlformats.org/officeDocument/2006/relationships/hyperlink" Target="https://www.facebook.com/tax.dnipropetrovsk/" TargetMode="External"/><Relationship Id="rId17" Type="http://schemas.openxmlformats.org/officeDocument/2006/relationships/hyperlink" Target="https://dp.tax.gov.ua/" TargetMode="External"/><Relationship Id="rId25" Type="http://schemas.openxmlformats.org/officeDocument/2006/relationships/hyperlink" Target="https://www.facebook.com/tax.dnipropetrovsk/" TargetMode="External"/><Relationship Id="rId33" Type="http://schemas.openxmlformats.org/officeDocument/2006/relationships/hyperlink" Target="https://dp.tax.gov.ua/" TargetMode="External"/><Relationship Id="rId38" Type="http://schemas.openxmlformats.org/officeDocument/2006/relationships/hyperlink" Target="https://www.youtube.com/channel/UCIxijADr1NbFo5dhZ3mQwVA" TargetMode="External"/><Relationship Id="rId46" Type="http://schemas.openxmlformats.org/officeDocument/2006/relationships/hyperlink" Target="https://www.facebook.com/tax.dnipropetrovsk/" TargetMode="External"/><Relationship Id="rId59" Type="http://schemas.openxmlformats.org/officeDocument/2006/relationships/hyperlink" Target="https://dp.tax.gov.ua/" TargetMode="External"/><Relationship Id="rId67" Type="http://schemas.openxmlformats.org/officeDocument/2006/relationships/hyperlink" Target="https://dp.tax.gov.ua/" TargetMode="External"/><Relationship Id="rId20" Type="http://schemas.openxmlformats.org/officeDocument/2006/relationships/hyperlink" Target="http://www.acskidd.gov.ua" TargetMode="External"/><Relationship Id="rId41" Type="http://schemas.openxmlformats.org/officeDocument/2006/relationships/hyperlink" Target="https://www.youtube.com/channel/UCIxijADr1NbFo5dhZ3mQwVA" TargetMode="External"/><Relationship Id="rId54" Type="http://schemas.openxmlformats.org/officeDocument/2006/relationships/hyperlink" Target="https://tax.gov.ua/media-tsentr/novini/511788.html" TargetMode="External"/><Relationship Id="rId62" Type="http://schemas.openxmlformats.org/officeDocument/2006/relationships/hyperlink" Target="http://cabinet.tax.gov.ua" TargetMode="External"/><Relationship Id="rId70" Type="http://schemas.openxmlformats.org/officeDocument/2006/relationships/hyperlink" Target="https://dp.tax.gov.ua/" TargetMode="External"/><Relationship Id="rId75" Type="http://schemas.openxmlformats.org/officeDocument/2006/relationships/hyperlink" Target="https://dp.tax.gov.u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 Id="rId15" Type="http://schemas.openxmlformats.org/officeDocument/2006/relationships/hyperlink" Target="https://www.facebook.com/tax.dnipropetrovsk/" TargetMode="External"/><Relationship Id="rId23" Type="http://schemas.openxmlformats.org/officeDocument/2006/relationships/hyperlink" Target="https://www.youtube.com/channel/UCIxijADr1NbFo5dhZ3mQwVA" TargetMode="External"/><Relationship Id="rId28" Type="http://schemas.openxmlformats.org/officeDocument/2006/relationships/hyperlink" Target="https://tax.gov.ua/nove-pro-podatki--novini-/511196.html" TargetMode="External"/><Relationship Id="rId36" Type="http://schemas.openxmlformats.org/officeDocument/2006/relationships/hyperlink" Target="https://dp.tax.gov.ua/" TargetMode="External"/><Relationship Id="rId49" Type="http://schemas.openxmlformats.org/officeDocument/2006/relationships/hyperlink" Target="https://www.facebook.com/tax.dnipropetrovsk/" TargetMode="External"/><Relationship Id="rId57" Type="http://schemas.openxmlformats.org/officeDocument/2006/relationships/hyperlink" Target="https://www.facebook.com/tax.dnipropetr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11781</Words>
  <Characters>67157</Characters>
  <Application>Microsoft Office Word</Application>
  <DocSecurity>0</DocSecurity>
  <Lines>559</Lines>
  <Paragraphs>157</Paragraphs>
  <ScaleCrop>false</ScaleCrop>
  <Company>Computer</Company>
  <LinksUpToDate>false</LinksUpToDate>
  <CharactersWithSpaces>78781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3</cp:revision>
  <dcterms:created xsi:type="dcterms:W3CDTF">2021-11-05T06:30:00Z</dcterms:created>
  <dcterms:modified xsi:type="dcterms:W3CDTF">2021-11-05T06:31:00Z</dcterms:modified>
</cp:coreProperties>
</file>