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1E10F2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1E10F2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1E10F2" w:rsidRDefault="001E10F2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№28</w:t>
                  </w:r>
                </w:p>
                <w:p w:rsidR="001E10F2" w:rsidRPr="008401B8" w:rsidRDefault="001E10F2" w:rsidP="00946FC1">
                  <w:pPr>
                    <w:spacing w:line="15" w:lineRule="atLeast"/>
                    <w:jc w:val="center"/>
                    <w:rPr>
                      <w:b/>
                      <w:i/>
                      <w:lang w:eastAsia="ru-RU"/>
                    </w:rPr>
                  </w:pPr>
                  <w:r w:rsidRPr="008401B8">
                    <w:rPr>
                      <w:b/>
                      <w:i/>
                    </w:rPr>
                    <w:t>Включення дітей пільгової категорії до списків на оздоровлення</w:t>
                  </w:r>
                </w:p>
              </w:tc>
            </w:tr>
          </w:tbl>
          <w:p w:rsidR="001E10F2" w:rsidRPr="00FC1C3B" w:rsidRDefault="001E10F2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1E10F2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383D5B" w:rsidRDefault="001E10F2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D02F50" w:rsidRDefault="001E10F2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1E10F2" w:rsidRPr="00D02F50" w:rsidRDefault="001E10F2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1E10F2" w:rsidRDefault="001E10F2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383D5B" w:rsidRDefault="001E10F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Default="001E10F2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1E10F2" w:rsidRDefault="001E10F2" w:rsidP="00946FC1">
                  <w:r>
                    <w:t>Перерва: з 12.30 до 13.00</w:t>
                  </w:r>
                </w:p>
                <w:p w:rsidR="001E10F2" w:rsidRDefault="001E10F2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383D5B" w:rsidRDefault="001E10F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C6016D" w:rsidRDefault="001E10F2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Default="001E10F2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1E10F2" w:rsidRPr="0035279A" w:rsidRDefault="001E10F2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1E10F2" w:rsidRDefault="001E10F2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1E10F2" w:rsidRDefault="001E10F2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383D5B" w:rsidRDefault="001E10F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C6016D" w:rsidRDefault="001E10F2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D20D2C" w:rsidRDefault="001E10F2" w:rsidP="00946FC1">
                  <w:r w:rsidRPr="00D20D2C">
                    <w:t>Закони України "Про охорону дитинства",  "Про оздоровлення та відпочинок дітей";</w:t>
                  </w:r>
                </w:p>
                <w:p w:rsidR="001E10F2" w:rsidRPr="00C668E4" w:rsidRDefault="001E10F2" w:rsidP="00946FC1">
                  <w:pPr>
                    <w:jc w:val="both"/>
                    <w:rPr>
                      <w:lang w:eastAsia="ru-RU"/>
                    </w:rPr>
                  </w:pPr>
                  <w:r w:rsidRPr="00D20D2C">
                    <w:rPr>
                      <w:rFonts w:eastAsia="Bookman Old Style"/>
                    </w:rPr>
                    <w:t xml:space="preserve">Рішення міської ради  від 31.03.2016 №381 </w:t>
                  </w:r>
                  <w:r w:rsidRPr="00D20D2C">
                    <w:t>"</w:t>
                  </w:r>
                  <w:r w:rsidRPr="00D20D2C">
                    <w:rPr>
                      <w:rFonts w:eastAsia="Bookman Old Style"/>
                    </w:rPr>
                    <w:t>Про обсяг і межі повноважень районних у місті рад та їх виконавчих органів</w:t>
                  </w:r>
                  <w:r w:rsidRPr="00D20D2C">
                    <w:t>"</w:t>
                  </w:r>
                  <w:r>
                    <w:t>, зі змінами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02E35" w:rsidRDefault="001E10F2" w:rsidP="00946FC1">
                  <w:pPr>
                    <w:spacing w:before="60" w:after="60"/>
                    <w:ind w:right="-94"/>
                    <w:rPr>
                      <w:lang w:eastAsia="ru-RU"/>
                    </w:rPr>
                  </w:pPr>
                  <w:r w:rsidRPr="00F02E3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02E35">
                    <w:rPr>
                      <w:lang w:eastAsia="ru-RU"/>
                    </w:rPr>
                    <w:t>о</w:t>
                  </w:r>
                  <w:r w:rsidRPr="00F02E35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Default="001E10F2" w:rsidP="00946FC1">
                  <w:r w:rsidRPr="000E6B7C">
                    <w:rPr>
                      <w:b/>
                      <w:sz w:val="28"/>
                      <w:szCs w:val="28"/>
                    </w:rPr>
                    <w:t>-</w:t>
                  </w:r>
                  <w:r w:rsidRPr="00832C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9F05DD">
                    <w:t>аява батька або матері</w:t>
                  </w:r>
                  <w:r>
                    <w:t>;</w:t>
                  </w:r>
                </w:p>
                <w:p w:rsidR="001E10F2" w:rsidRPr="00F02E35" w:rsidRDefault="001E10F2" w:rsidP="00946FC1">
                  <w:r w:rsidRPr="00F02E35">
                    <w:t xml:space="preserve">- копія паспорта (батька, матері або особи, </w:t>
                  </w:r>
                  <w:r>
                    <w:t>яка</w:t>
                  </w:r>
                  <w:r w:rsidRPr="00F02E35">
                    <w:t xml:space="preserve"> їх замінює);</w:t>
                  </w:r>
                </w:p>
                <w:p w:rsidR="001E10F2" w:rsidRPr="00F02E35" w:rsidRDefault="001E10F2" w:rsidP="00946FC1">
                  <w:r>
                    <w:t xml:space="preserve">- </w:t>
                  </w:r>
                  <w:r w:rsidRPr="00F02E35">
                    <w:t>копія</w:t>
                  </w:r>
                  <w:r>
                    <w:t xml:space="preserve"> свідоцтва</w:t>
                  </w:r>
                  <w:r w:rsidRPr="00F02E35">
                    <w:t xml:space="preserve"> про народження дитини;</w:t>
                  </w:r>
                </w:p>
                <w:p w:rsidR="001E10F2" w:rsidRPr="00F02E35" w:rsidRDefault="001E10F2" w:rsidP="00946FC1">
                  <w:pPr>
                    <w:jc w:val="both"/>
                  </w:pPr>
                  <w:r w:rsidRPr="00F02E35">
                    <w:t>- довідка</w:t>
                  </w:r>
                  <w:r>
                    <w:t xml:space="preserve"> про реєстрацію </w:t>
                  </w:r>
                  <w:r w:rsidRPr="00F02E35">
                    <w:t xml:space="preserve"> місця проживання;</w:t>
                  </w:r>
                </w:p>
                <w:p w:rsidR="001E10F2" w:rsidRPr="00FC1C3B" w:rsidRDefault="001E10F2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proofErr w:type="spellStart"/>
                  <w:r>
                    <w:t>-к</w:t>
                  </w:r>
                  <w:r w:rsidRPr="00F02E35">
                    <w:t>опія</w:t>
                  </w:r>
                  <w:proofErr w:type="spellEnd"/>
                  <w:r w:rsidRPr="00F02E35">
                    <w:t xml:space="preserve"> документа, який підтверджує, статус пільгової категорії</w:t>
                  </w:r>
                  <w:r>
                    <w:t xml:space="preserve"> або обдарованої</w:t>
                  </w:r>
                  <w:r w:rsidRPr="00F02E35">
                    <w:t xml:space="preserve"> дитини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383D5B" w:rsidRDefault="001E10F2" w:rsidP="00946FC1">
                  <w:pPr>
                    <w:spacing w:before="60" w:after="60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008EE" w:rsidRDefault="001E10F2" w:rsidP="00946FC1">
                  <w:pPr>
                    <w:spacing w:before="60" w:after="60"/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tabs>
                      <w:tab w:val="left" w:pos="315"/>
                      <w:tab w:val="center" w:pos="2629"/>
                    </w:tabs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t>30 календарн</w:t>
                  </w:r>
                  <w:r w:rsidRPr="00871FA1">
                    <w:t>их</w:t>
                  </w:r>
                  <w:r w:rsidRPr="00235A0A">
                    <w:t xml:space="preserve"> днів</w:t>
                  </w:r>
                  <w:r>
                    <w:t>, а  у разі неможливості ухвалення рішення в такий строк – на першому засіданні виконкому районної у місті</w:t>
                  </w:r>
                  <w:r>
                    <w:cr/>
                    <w:t xml:space="preserve"> ради після його закінчення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 xml:space="preserve">достовірних даних </w:t>
                  </w:r>
                </w:p>
              </w:tc>
            </w:tr>
            <w:tr w:rsidR="001E10F2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D20D2C" w:rsidRDefault="001E10F2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>
                    <w:t>Рішення, повідомлення</w:t>
                  </w:r>
                </w:p>
              </w:tc>
            </w:tr>
            <w:tr w:rsidR="001E10F2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FC1C3B" w:rsidRDefault="001E10F2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0F2" w:rsidRPr="0058588C" w:rsidRDefault="001E10F2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1E10F2" w:rsidRPr="00FC1C3B" w:rsidRDefault="001E10F2" w:rsidP="00946FC1">
            <w:pPr>
              <w:ind w:firstLine="567"/>
              <w:rPr>
                <w:lang w:eastAsia="ru-RU"/>
              </w:rPr>
            </w:pPr>
          </w:p>
        </w:tc>
      </w:tr>
    </w:tbl>
    <w:p w:rsidR="005E55A9" w:rsidRPr="001E10F2" w:rsidRDefault="005E55A9" w:rsidP="001E10F2">
      <w:bookmarkStart w:id="0" w:name="_GoBack"/>
      <w:bookmarkEnd w:id="0"/>
    </w:p>
    <w:sectPr w:rsidR="005E55A9" w:rsidRPr="001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A"/>
    <w:rsid w:val="001E10F2"/>
    <w:rsid w:val="002C0413"/>
    <w:rsid w:val="005844CA"/>
    <w:rsid w:val="005B4E06"/>
    <w:rsid w:val="005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4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4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*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2020-05-27T08:38:00Z</dcterms:created>
  <dcterms:modified xsi:type="dcterms:W3CDTF">2020-06-22T08:37:00Z</dcterms:modified>
</cp:coreProperties>
</file>