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7A" w:rsidRPr="00017292" w:rsidRDefault="00962E7A" w:rsidP="00320586">
      <w:pPr>
        <w:pStyle w:val="Heading1"/>
        <w:shd w:val="clear" w:color="auto" w:fill="FFFFFF"/>
        <w:spacing w:before="0" w:beforeAutospacing="0" w:after="0" w:afterAutospacing="0"/>
        <w:jc w:val="center"/>
        <w:rPr>
          <w:sz w:val="20"/>
          <w:szCs w:val="20"/>
        </w:rPr>
      </w:pPr>
      <w:r w:rsidRPr="00017292">
        <w:rPr>
          <w:sz w:val="20"/>
          <w:szCs w:val="20"/>
        </w:rPr>
        <w:t>Криворізьке південне управління ГУ ДПС у Дніпропетровській області повідомляє (23.12.2020)</w:t>
      </w:r>
    </w:p>
    <w:p w:rsidR="00962E7A" w:rsidRPr="00017292" w:rsidRDefault="00962E7A" w:rsidP="00CC6508">
      <w:pPr>
        <w:pStyle w:val="Heading1"/>
        <w:shd w:val="clear" w:color="auto" w:fill="FFFFFF"/>
        <w:spacing w:before="0" w:beforeAutospacing="0" w:after="0" w:afterAutospacing="0"/>
        <w:rPr>
          <w:sz w:val="20"/>
          <w:szCs w:val="20"/>
        </w:rPr>
      </w:pPr>
    </w:p>
    <w:p w:rsidR="00962E7A" w:rsidRPr="00017292" w:rsidRDefault="00962E7A" w:rsidP="00B25C7C">
      <w:pPr>
        <w:shd w:val="clear" w:color="auto" w:fill="FFFFFF"/>
        <w:spacing w:after="0" w:line="240" w:lineRule="auto"/>
        <w:jc w:val="center"/>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Прийнято програми підтримки бізнесу у разі посилення карантинних обмежень</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Інформуємо, що 07 грудня 2020 року Президент України підписав закони України № 1071-ІХ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 V-2» (далі – Закон № 1071) та № 1072-ІХ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 V-2» (далі –  № 1072).</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Закон № 1071 передбачає надання одноразової матеріальної допомоги у розмірі 8 тис. грн найманим працівникам, які втратили частину заробітної платні внаслідок запровадження карантинних обмежень, та фізичним особам – підприємцям (ФОП), які втратили частину доходу внаслідок карантину.</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ФОПи не зможуть отримати допомогу:</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вони зареєстровані менше ніж за три місяці до набрання чинності Законом № 1071;</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у 2020 році сплатили єдиного внеску на загальнообов’язкове державне соціальне страхування (далі – єдиний внесок) за себе менше ніж за три місяці;</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їхній вид діяльності не підпадає під карантинні обмеження.</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Крім того, документ передбачає надання одноразової матеріальної допомоги компаніям для виплат найманим працівникам, щоб не скорочувати їх під час дії карантину. Ця норма стосується підприємств, які (на час набуття чинності законом) вимушено скоротили або можуть скоротити тривалість робочого часу працівників через простій у зв'язку з впровадженням карантину.</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Розмір допомоги вираховується пропорційно скороченню робочого часу працівника, але не може перевищувати 8 тис. грн.</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Також закон передбачає одноразову компенсацію суб’єктам господарювання з метою відшкодування витрат, понесених на сплату єдиного внеску.</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Розмір одноразової компенсації становитиме середньомісячну суму єдиного внеску з розрахунків останніх 10 місяців.</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Компенсації отримають ті компанії, які реально постраждають від запровадження карантинних обмежень. Проте компенсація не надаватиметься, якщо з єдиного внеску є заборгованість.</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Крім того, закон передбачає продовження дії ліцензій компаніям на продаж алкоголю на період карантину, а також протягом трьох місяців після його закінчення. Документи дозвільного характеру продовжують дію на період карантину та протягом трьох місяців після його закінчення. Продовжується й строк дії договорів оренди державного та комунального майна, які закінчуються у період карантину, та протягом одного місяця з дня його закінчення. Не нараховується та не сплачується плата за оренду державного або комунального майна.</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Закон № 1072-ІХ передбачає низку податкових стимулів для громадян, малого й середнього бізнесу на період можливого оголошення карантину.</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Зокрема, списується податковий борг платникам податків у разі, якщо сукупний розмір боргу платника за всіма податками та зборами не перевищує 3060 грн.</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Платники єдиного податку І групи звільняються від сплати цього податку за грудень 2020 року та січень – травень 2021 року.</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Також до 29 грудня 2021 року відстрочено погашення податкового боргу платників податків – фізичних осіб, зокрема самозайнятих осіб, що в загальній сумі не перевищує 6 800 гривень.</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Крім того, Президент підписав Закон «Про внесення змін до статті 28 Закону України «Про Державний бюджет України на 2020 рік» № 1073-ІХ.</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Документ розширює перелік напрямків, за якими можуть використовуватися кошти Фонду з боротьби з наслідками епідемії коронавірусу. Зокрема, цими коштами може фінансуватися: одноразова матеріальна допомога громадянам у разі посилення карантину; матеріальна допомога бізнесу для збереження робочих місць; одноразова компенсація бізнесу для сплати єдиного внеску за найманих працівників.</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5" w:tgtFrame="_blank" w:history="1">
        <w:r w:rsidRPr="00017292">
          <w:rPr>
            <w:rFonts w:ascii="Times New Roman" w:hAnsi="Times New Roman"/>
            <w:sz w:val="20"/>
            <w:szCs w:val="20"/>
            <w:u w:val="single"/>
            <w:lang w:eastAsia="ru-RU"/>
          </w:rPr>
          <w:t>https://t.me/tax_gov_ua</w:t>
        </w:r>
      </w:hyperlink>
    </w:p>
    <w:p w:rsidR="00962E7A" w:rsidRPr="00017292" w:rsidRDefault="00962E7A" w:rsidP="00B25C7C">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6"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Default="00962E7A" w:rsidP="00B25C7C">
      <w:pPr>
        <w:shd w:val="clear" w:color="auto" w:fill="FFFFFF"/>
        <w:spacing w:after="0" w:line="240" w:lineRule="auto"/>
        <w:jc w:val="both"/>
        <w:rPr>
          <w:rFonts w:ascii="Times New Roman" w:hAnsi="Times New Roman"/>
          <w:sz w:val="20"/>
          <w:szCs w:val="20"/>
          <w:lang w:eastAsia="ru-RU"/>
        </w:rPr>
      </w:pPr>
    </w:p>
    <w:p w:rsidR="00962E7A" w:rsidRPr="00017292" w:rsidRDefault="00962E7A" w:rsidP="00B25C7C">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B25C7C">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B25C7C">
      <w:pPr>
        <w:shd w:val="clear" w:color="auto" w:fill="FFFFFF"/>
        <w:spacing w:after="0" w:line="240" w:lineRule="auto"/>
        <w:jc w:val="both"/>
        <w:rPr>
          <w:rFonts w:ascii="Times New Roman" w:hAnsi="Times New Roman"/>
          <w:sz w:val="20"/>
          <w:szCs w:val="20"/>
          <w:lang w:eastAsia="ru-RU"/>
        </w:rPr>
      </w:pPr>
    </w:p>
    <w:p w:rsidR="00962E7A" w:rsidRDefault="00962E7A" w:rsidP="00B25C7C">
      <w:pPr>
        <w:shd w:val="clear" w:color="auto" w:fill="FFFFFF"/>
        <w:spacing w:after="0" w:line="240" w:lineRule="auto"/>
        <w:jc w:val="both"/>
        <w:rPr>
          <w:rFonts w:ascii="Times New Roman" w:hAnsi="Times New Roman"/>
          <w:sz w:val="20"/>
          <w:szCs w:val="20"/>
          <w:lang w:eastAsia="ru-RU"/>
        </w:rPr>
      </w:pP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p>
    <w:p w:rsidR="00962E7A" w:rsidRPr="00017292" w:rsidRDefault="00962E7A" w:rsidP="00B25C7C">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Увага! Шахраї!</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Відділом з питань запобігання та виявлення корупції Головного управління ДПС у Дніпропетровській області фіксуються чергові спроби телефонного психологічного тиску шахраїв на представників підприємницької діяльності з метою отримання грошових коштів.</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використовуючи номери (095) 020 8846, (099) 435 0652  і прикриваючись нібито належністю до податкової служби м. П’ятихатки, шахраї вимагають від суб’єктів господарювання грошові кошти з мотивацією нібито не проведення можливих перевірочних заходів, чим відверте дискредитують працівників державної служби, негативно впливають на їх ділову репутацію та честь. </w:t>
      </w:r>
    </w:p>
    <w:p w:rsidR="00962E7A" w:rsidRPr="00017292" w:rsidRDefault="00962E7A"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ГУ ДПС у Дніпропетровській області звертається до платників податків бути обачними, не піддаватися на провокації. У разі виникнення вказаних ситуацій, вчинення протиправних дій від імені працівників ДПС, негайно звертатись до Національної поліції за телефоном 102.</w:t>
      </w:r>
    </w:p>
    <w:p w:rsidR="00962E7A" w:rsidRPr="00017292" w:rsidRDefault="00962E7A" w:rsidP="00B25C7C">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B25C7C">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B25C7C">
      <w:pPr>
        <w:shd w:val="clear" w:color="auto" w:fill="FFFFFF"/>
        <w:spacing w:after="0" w:line="240" w:lineRule="auto"/>
        <w:jc w:val="both"/>
        <w:rPr>
          <w:rFonts w:ascii="Times New Roman" w:hAnsi="Times New Roman"/>
          <w:sz w:val="20"/>
          <w:szCs w:val="20"/>
          <w:lang w:eastAsia="ru-RU"/>
        </w:rPr>
      </w:pPr>
    </w:p>
    <w:p w:rsidR="00962E7A" w:rsidRPr="00017292" w:rsidRDefault="00962E7A" w:rsidP="00CC6508">
      <w:pPr>
        <w:pStyle w:val="Heading1"/>
        <w:shd w:val="clear" w:color="auto" w:fill="FFFFFF"/>
        <w:spacing w:before="0" w:beforeAutospacing="0" w:after="0" w:afterAutospacing="0"/>
        <w:rPr>
          <w:sz w:val="20"/>
          <w:szCs w:val="20"/>
        </w:rPr>
      </w:pPr>
    </w:p>
    <w:p w:rsidR="00962E7A" w:rsidRPr="00017292" w:rsidRDefault="00962E7A" w:rsidP="00017292">
      <w:pPr>
        <w:pStyle w:val="Heading1"/>
        <w:shd w:val="clear" w:color="auto" w:fill="FFFFFF"/>
        <w:spacing w:before="0" w:beforeAutospacing="0" w:after="0" w:afterAutospacing="0"/>
        <w:jc w:val="center"/>
        <w:rPr>
          <w:i/>
          <w:sz w:val="20"/>
          <w:szCs w:val="20"/>
        </w:rPr>
      </w:pPr>
      <w:r w:rsidRPr="00017292">
        <w:rPr>
          <w:i/>
          <w:sz w:val="20"/>
          <w:szCs w:val="20"/>
        </w:rPr>
        <w:t>Облік доходів і витрат самозайнятих осіб з 01.01.2021 за новими правилами</w:t>
      </w:r>
    </w:p>
    <w:p w:rsidR="00962E7A" w:rsidRPr="00017292" w:rsidRDefault="00962E7A" w:rsidP="00017292">
      <w:pPr>
        <w:pStyle w:val="NormalWeb"/>
        <w:shd w:val="clear" w:color="auto" w:fill="FFFFFF"/>
        <w:spacing w:before="0" w:beforeAutospacing="0" w:after="0" w:afterAutospacing="0"/>
        <w:ind w:firstLine="708"/>
        <w:jc w:val="both"/>
        <w:rPr>
          <w:sz w:val="20"/>
          <w:szCs w:val="20"/>
        </w:rPr>
      </w:pPr>
      <w:r w:rsidRPr="00017292">
        <w:rPr>
          <w:sz w:val="20"/>
          <w:szCs w:val="20"/>
        </w:rPr>
        <w:t>Законом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 – підприємців» змінено порядок ведення обліку доходів і витрат самозайнятими особами, зокрема, відмінено обов’язкове ведення паперових Книг обліку доходу та витрат, Книг обліку доходів.</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Так, залежно від обраної системи оподаткування самозайняті особи, починаючи з 01 січня 2021 року, мають вести облік своїх доходів (витрат) у наступний спосіб:</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фізичні особи – підприємці (ФОП) на загальній системі зобов’язані вести облік доходів і витрат та мати підтверджуючі документи щодо походження товару. Кодекс дозволяє вести облік доходів і витрат в паперовому та/або електронному вигляді, у тому числі через Електронний кабінет.</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Типова форма, за якою здійснюється облік доходів і витрат, та порядок ведення такого обліку визначаються центральним органом виконавчої влади, що забезпечує формування та реалізує державну фінансову політику. На сьогодні і до моменту затвердження нової форми Міністерством фінансів України залишається чинною Книга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затверджена Наказом Міністерства доходів і зборів України від 16 вересня 2013 № 481 (далі – Книга).</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Фізичні особи, які провадять незалежну професійну діяльність зобов’язані вести облік доходів і витрат від такої діяльності. Податковим кодексом України визначає, що такі особи мають можливість вести облік доходів і витрат в паперовому та/або електронному вигляді, у тому числі через Електронний кабінет.</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Типова форма, за якою здійснюється облік доходів і витрат, та порядок ведення такого обліку також визначаються центральним органом виконавчої влади, що забезпечує формування та реалізує державну фінансову політику. На сьогодні і до моменту затвердження нової форми Міністерством фінансів України залишається чинною Книга.</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ФОП – платникам єдиного податку першої і другої груп та платникам єдиного податку третьої групи, які не є платниками ПДВ, буде надано право вести облік у довільній формі шляхом помісячного відображення отриманих доходів.</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Ці суб’єкти господарювання будуть мати можливість вести облік як у паперовому так і в електронному вигляді.</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ФОП – платникам єдиного податку третьої групи, які є платниками ПДВ, також надано право вести облік у довільній формі (у паперовому або електронному вигляді) шляхом помісячного відображення доходів та витрат.</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rStyle w:val="Emphasis"/>
          <w:sz w:val="20"/>
          <w:szCs w:val="20"/>
        </w:rPr>
        <w:t>Підписуйтесь на Telegram-канал Державної податкової служби України</w:t>
      </w:r>
      <w:r w:rsidRPr="00017292">
        <w:rPr>
          <w:sz w:val="20"/>
          <w:szCs w:val="20"/>
        </w:rPr>
        <w:t> </w:t>
      </w:r>
      <w:hyperlink r:id="rId7" w:tgtFrame="_blank" w:history="1">
        <w:r w:rsidRPr="00017292">
          <w:rPr>
            <w:rStyle w:val="Hyperlink"/>
            <w:color w:val="auto"/>
            <w:sz w:val="20"/>
            <w:szCs w:val="20"/>
          </w:rPr>
          <w:t>https://t.me/tax_gov_ua</w:t>
        </w:r>
      </w:hyperlink>
    </w:p>
    <w:p w:rsidR="00962E7A" w:rsidRPr="00017292" w:rsidRDefault="00962E7A" w:rsidP="00CC6508">
      <w:pPr>
        <w:pStyle w:val="NormalWeb"/>
        <w:shd w:val="clear" w:color="auto" w:fill="FFFFFF"/>
        <w:spacing w:before="0" w:beforeAutospacing="0" w:after="0" w:afterAutospacing="0"/>
        <w:jc w:val="both"/>
        <w:rPr>
          <w:rStyle w:val="Emphasis"/>
          <w:sz w:val="20"/>
          <w:szCs w:val="20"/>
        </w:rPr>
      </w:pPr>
      <w:r w:rsidRPr="00017292">
        <w:rPr>
          <w:rStyle w:val="Emphasis"/>
          <w:sz w:val="20"/>
          <w:szCs w:val="20"/>
        </w:rPr>
        <w:t>Спілкуйся з Податковою службою дистанційно за допомогою сервісу «</w:t>
      </w:r>
      <w:hyperlink r:id="rId8" w:tgtFrame="_blank" w:history="1">
        <w:r w:rsidRPr="00017292">
          <w:rPr>
            <w:rStyle w:val="Hyperlink"/>
            <w:i/>
            <w:iCs/>
            <w:color w:val="auto"/>
            <w:sz w:val="20"/>
            <w:szCs w:val="20"/>
          </w:rPr>
          <w:t>InfoTAX</w:t>
        </w:r>
      </w:hyperlink>
      <w:r w:rsidRPr="00017292">
        <w:rPr>
          <w:rStyle w:val="Emphasis"/>
          <w:sz w:val="20"/>
          <w:szCs w:val="20"/>
        </w:rPr>
        <w:t>»</w:t>
      </w:r>
    </w:p>
    <w:p w:rsidR="00962E7A" w:rsidRPr="00017292" w:rsidRDefault="00962E7A" w:rsidP="00017292">
      <w:pPr>
        <w:pStyle w:val="NormalWeb"/>
        <w:shd w:val="clear" w:color="auto" w:fill="FFFFFF"/>
        <w:spacing w:before="0" w:beforeAutospacing="0" w:after="0" w:afterAutospacing="0"/>
        <w:jc w:val="center"/>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jc w:val="center"/>
        <w:rPr>
          <w:sz w:val="20"/>
          <w:szCs w:val="20"/>
        </w:rPr>
      </w:pPr>
    </w:p>
    <w:p w:rsidR="00962E7A" w:rsidRPr="00017292" w:rsidRDefault="00962E7A" w:rsidP="00CC6508">
      <w:pPr>
        <w:pStyle w:val="Heading1"/>
        <w:shd w:val="clear" w:color="auto" w:fill="FFFFFF"/>
        <w:spacing w:before="0" w:beforeAutospacing="0" w:after="0" w:afterAutospacing="0"/>
        <w:rPr>
          <w:sz w:val="20"/>
          <w:szCs w:val="20"/>
        </w:rPr>
      </w:pPr>
      <w:r w:rsidRPr="00017292">
        <w:rPr>
          <w:sz w:val="20"/>
          <w:szCs w:val="20"/>
        </w:rPr>
        <w:t>Затверджено переклад Таксономії фінансової звітності за міжнародними стандартами фінансової звітності</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Міністерство фінансів України наказом від 13.11.2020 року № 709 (далі –  Наказ № 709) затвердило переклад Таксономії фінансової звітності за міжнародними стандартами фінансової звітності.</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Наказ № 709 розроблено відповідно до Закону України «Про бухгалтерський облік та фінансову звітність в Україні».</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Наказом № 709 встановлено, що фінансова звітність на основі Таксономії фінансової звітності за міжнародними стандартами фінансової звітності складається та подається в єдиному електронному форматі із застосуванням розширюваної мови ділової звітності (XBRL).</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Крім того, відповідно до Наказу № 709 втратив чинність наказ Міністерства фінансів України від 25.10.2019 № 452 «Про затвердження перекладу Таксономії фінансової звітності за міжнародними стандартами фінансової звітності».</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Наказ набирає чинності з 01 січня 2021 року.</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Наказ № 709 розміщено на офіційному сайті Міністерства фінансів України за посиланням</w:t>
      </w:r>
    </w:p>
    <w:p w:rsidR="00962E7A" w:rsidRPr="00017292" w:rsidRDefault="00962E7A" w:rsidP="00CC6508">
      <w:pPr>
        <w:pStyle w:val="NormalWeb"/>
        <w:shd w:val="clear" w:color="auto" w:fill="FFFFFF"/>
        <w:spacing w:before="0" w:beforeAutospacing="0" w:after="0" w:afterAutospacing="0"/>
        <w:jc w:val="both"/>
        <w:rPr>
          <w:sz w:val="20"/>
          <w:szCs w:val="20"/>
        </w:rPr>
      </w:pPr>
      <w:hyperlink r:id="rId9" w:history="1">
        <w:r w:rsidRPr="00017292">
          <w:rPr>
            <w:rStyle w:val="Hyperlink"/>
            <w:b/>
            <w:bCs/>
            <w:color w:val="auto"/>
            <w:sz w:val="20"/>
            <w:szCs w:val="20"/>
          </w:rPr>
          <w:t>https://mof.gov.ua/storage/files/%D0%9D%D0%B0%D0%BA%D0%B0%D0%B7%20709.pdf</w:t>
        </w:r>
      </w:hyperlink>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rStyle w:val="Emphasis"/>
          <w:sz w:val="20"/>
          <w:szCs w:val="20"/>
        </w:rPr>
        <w:t>Підписуйтесь на Telegram-канал Державної податкової служби України</w:t>
      </w:r>
      <w:r w:rsidRPr="00017292">
        <w:rPr>
          <w:sz w:val="20"/>
          <w:szCs w:val="20"/>
        </w:rPr>
        <w:t> </w:t>
      </w:r>
      <w:hyperlink r:id="rId10" w:tgtFrame="_blank" w:history="1">
        <w:r w:rsidRPr="00017292">
          <w:rPr>
            <w:rStyle w:val="Hyperlink"/>
            <w:color w:val="auto"/>
            <w:sz w:val="20"/>
            <w:szCs w:val="20"/>
          </w:rPr>
          <w:t>https://t.me/tax_gov_ua</w:t>
        </w:r>
      </w:hyperlink>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rStyle w:val="Emphasis"/>
          <w:sz w:val="20"/>
          <w:szCs w:val="20"/>
        </w:rPr>
        <w:t>Спілкуйся з Податковою службою дистанційно за допомогою сервісу «</w:t>
      </w:r>
      <w:hyperlink r:id="rId11" w:tgtFrame="_blank" w:history="1">
        <w:r w:rsidRPr="00017292">
          <w:rPr>
            <w:rStyle w:val="Hyperlink"/>
            <w:i/>
            <w:iCs/>
            <w:color w:val="auto"/>
            <w:sz w:val="20"/>
            <w:szCs w:val="20"/>
          </w:rPr>
          <w:t>InfoTAX</w:t>
        </w:r>
      </w:hyperlink>
      <w:r w:rsidRPr="00017292">
        <w:rPr>
          <w:rStyle w:val="Emphasis"/>
          <w:sz w:val="20"/>
          <w:szCs w:val="20"/>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017292">
      <w:pPr>
        <w:shd w:val="clear" w:color="auto" w:fill="FFFFFF"/>
        <w:spacing w:after="0" w:line="240" w:lineRule="auto"/>
        <w:jc w:val="center"/>
        <w:outlineLvl w:val="0"/>
        <w:rPr>
          <w:rFonts w:ascii="Times New Roman" w:hAnsi="Times New Roman"/>
          <w:b/>
          <w:bCs/>
          <w:kern w:val="36"/>
          <w:sz w:val="20"/>
          <w:szCs w:val="20"/>
          <w:lang w:eastAsia="ru-RU"/>
        </w:rPr>
      </w:pPr>
    </w:p>
    <w:p w:rsidR="00962E7A" w:rsidRPr="00017292" w:rsidRDefault="00962E7A" w:rsidP="00017292">
      <w:pPr>
        <w:pStyle w:val="Heading1"/>
        <w:shd w:val="clear" w:color="auto" w:fill="FFFFFF"/>
        <w:spacing w:before="0" w:beforeAutospacing="0" w:after="0" w:afterAutospacing="0"/>
        <w:jc w:val="center"/>
        <w:rPr>
          <w:i/>
          <w:sz w:val="20"/>
          <w:szCs w:val="20"/>
        </w:rPr>
      </w:pPr>
      <w:r w:rsidRPr="00017292">
        <w:rPr>
          <w:i/>
          <w:sz w:val="20"/>
          <w:szCs w:val="20"/>
        </w:rPr>
        <w:t>Закони України щодо лібералізації та підтримки бізнесу набрали чинності</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Доводимо до відома платників, що у офіційному виданні «Голос України» від 09.12.2020 № 228 опубліковано три важливих закони для підтримки бізнесу під час карантину, а саме:</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Закон України від 01грудня 2020 року № 1017-ІХ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(далі – Закон № 1017).</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Закон № 1017 визначає граничні обсяги доходів, неперевищення яких є однією з умов застосування суб’єктами спрощеної системи оподаткування відповідних груп платників єдиного податку, зважаючи на встановлені законом розміри мінімальної заробітної плати, що дасть змогу враховувати під час реалізації відповідних норм зміни в економічній ситуації.</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Крім того, виключено норми щодо застосування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до суб’єктів господарювання штрафних (фінансових) санкцій.</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До 1 січня 2022 року відтерміновано обов’язкове застосування реєстраторів розрахункових операцій (РРО)/програмних РРО для фізичних осіб – підприємців (далі – ФОП), які є платниками єдиного податку другої – четвертої груп та обсяг доходу яких протягом календарного року не перевищує граничного обсягу доходу, встановленого для першої групи платників єдиного податку, </w:t>
      </w:r>
      <w:r w:rsidRPr="00017292">
        <w:rPr>
          <w:rStyle w:val="Emphasis"/>
          <w:sz w:val="20"/>
          <w:szCs w:val="20"/>
        </w:rPr>
        <w:t>крім тих, які провадять діяльність у сферах з істотними ризиками ухилення від оподаткування</w:t>
      </w:r>
      <w:r w:rsidRPr="00017292">
        <w:rPr>
          <w:sz w:val="20"/>
          <w:szCs w:val="20"/>
        </w:rPr>
        <w:t>.</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Закон України від 04 грудня 2020 року № 1071-ІХ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 V-2» (далі – Закон № 1071).</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Законом № 1071 передбачено надання одноразової матеріальної допомоги у розмірі 8 тис. грн найманим працівникам, які втратили частину заробітної платні внаслідок запровадження карантинних обмежень, та ФОП, які втратили частину доходу внаслідок карантину.</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Допомога ФОП не надається, якщо вони:</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зареєстровані менше ніж за три місяці до набрання чинності цим законом;</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у 2020 році сплатили єдиний внесок на загальнообов’язкове державне соціальне страхування (далі – єдиний внесок) за себе менше ніж за три місяці, а також якщо їхній вид діяльності не підпадає під карантинні обмеження.</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Крім того, Закон № 1071 передбачає надання одноразової матеріальної допомоги компаніям для виплат найманим працівникам у разі скорочення штату під час дії карантину. Ця норма стосується підприємств, які (на час набуття чинності законом) вимушено скоротили або можуть скоротити тривалість робочого часу працівників через простій у зв'язку з впровадженням карантину.</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Розмір допомоги вираховується пропорційно скороченню робочого часу працівника, але не може перевищувати 8 тис. гривень.</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Законом № 1071 також передбачається одноразова компенсацію суб’єктам господарювання з метою відшкодування витрат, понесених на сплату єдиного внеску. Розмір одноразової компенсації становитиме середньомісячну суму єдиного внеску з розрахунків останніх 10 місяців.</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Закон України від 04.12.2020 р. № 1072-ІХ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 V-2»(Далі – Закон № 1072).</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Законом № 1072 передбачено:</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звільнення платників єдиного податку I групи від сплати цього податку за грудень 2020 року та січень – травень 2021 року;</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звільнення від нарахування, обчислення та сплати єдиного внеску платників єдиного податку першої групи в частині сум, що підлягають нарахуванню, обчисленню та сплаті такими особами за періоди з 01 по 31 грудня 2020 року, з    01 по 31 січня, з 01 по 28 лютого, з 01 по 31 березня, з 01 по 30 квітня та з 01 по   31 травня 2021 року за себе, та визначити, що такі періоди включаються до страхового стажу;</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списання податкового боргу платникам податків у разі, якщо сукупний розмір боргу платника за усіма податками і зборами не перевищує 3 060 грн та його не погашено станом на 01.11.2020;</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 відстрочення до 29 грудня 2021 року погашення податкового боргу платників податків – фізичних осіб, у тому числі самозайнятих осіб, що у загальній сумі не перевищує 6800 гривень тощо.</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Вищезазначені закони набирають чинності з дня, наступного за днем їх опублікуванням, тобто 10.12.2020. Розділ I Закону № 1017 щодо нових лімітів доходу для платників єдиного податку та правил застосування РРО у 2021 році набере чинності з 01 січня 2021 року.</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rStyle w:val="Emphasis"/>
          <w:sz w:val="20"/>
          <w:szCs w:val="20"/>
        </w:rPr>
        <w:t>Підписуйтесь на Telegram-канал Державної податкової служби України</w:t>
      </w:r>
      <w:r w:rsidRPr="00017292">
        <w:rPr>
          <w:sz w:val="20"/>
          <w:szCs w:val="20"/>
        </w:rPr>
        <w:t> </w:t>
      </w:r>
      <w:hyperlink r:id="rId12" w:tgtFrame="_blank" w:history="1">
        <w:r w:rsidRPr="00017292">
          <w:rPr>
            <w:rStyle w:val="Hyperlink"/>
            <w:color w:val="auto"/>
            <w:sz w:val="20"/>
            <w:szCs w:val="20"/>
          </w:rPr>
          <w:t>https://t.me/tax_gov_ua</w:t>
        </w:r>
      </w:hyperlink>
    </w:p>
    <w:p w:rsidR="00962E7A" w:rsidRPr="00017292" w:rsidRDefault="00962E7A" w:rsidP="00CC6508">
      <w:pPr>
        <w:pStyle w:val="NormalWeb"/>
        <w:shd w:val="clear" w:color="auto" w:fill="FFFFFF"/>
        <w:spacing w:before="0" w:beforeAutospacing="0" w:after="0" w:afterAutospacing="0"/>
        <w:jc w:val="both"/>
        <w:rPr>
          <w:rStyle w:val="Emphasis"/>
          <w:sz w:val="20"/>
          <w:szCs w:val="20"/>
        </w:rPr>
      </w:pPr>
      <w:r w:rsidRPr="00017292">
        <w:rPr>
          <w:rStyle w:val="Emphasis"/>
          <w:sz w:val="20"/>
          <w:szCs w:val="20"/>
        </w:rPr>
        <w:t>Спілкуйся з Податковою службою дистанційно за допомогою сервісу «</w:t>
      </w:r>
      <w:hyperlink r:id="rId13" w:tgtFrame="_blank" w:history="1">
        <w:r w:rsidRPr="00017292">
          <w:rPr>
            <w:rStyle w:val="Hyperlink"/>
            <w:i/>
            <w:iCs/>
            <w:color w:val="auto"/>
            <w:sz w:val="20"/>
            <w:szCs w:val="20"/>
          </w:rPr>
          <w:t>InfoTAX</w:t>
        </w:r>
      </w:hyperlink>
      <w:r w:rsidRPr="00017292">
        <w:rPr>
          <w:rStyle w:val="Emphasis"/>
          <w:sz w:val="20"/>
          <w:szCs w:val="20"/>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CC6508">
      <w:pPr>
        <w:pStyle w:val="NormalWeb"/>
        <w:shd w:val="clear" w:color="auto" w:fill="FFFFFF"/>
        <w:spacing w:before="0" w:beforeAutospacing="0" w:after="0" w:afterAutospacing="0"/>
        <w:jc w:val="both"/>
        <w:rPr>
          <w:sz w:val="20"/>
          <w:szCs w:val="20"/>
        </w:rPr>
      </w:pPr>
    </w:p>
    <w:p w:rsidR="00962E7A" w:rsidRPr="00017292" w:rsidRDefault="00962E7A" w:rsidP="006E3DB0">
      <w:pPr>
        <w:pStyle w:val="NormalWeb"/>
        <w:shd w:val="clear" w:color="auto" w:fill="FFFFFF"/>
        <w:spacing w:before="0" w:beforeAutospacing="0" w:after="0" w:afterAutospacing="0"/>
        <w:jc w:val="both"/>
        <w:rPr>
          <w:sz w:val="20"/>
          <w:szCs w:val="20"/>
        </w:rPr>
      </w:pPr>
    </w:p>
    <w:p w:rsidR="00962E7A" w:rsidRPr="00017292" w:rsidRDefault="00962E7A" w:rsidP="006E3DB0">
      <w:pPr>
        <w:pStyle w:val="Heading1"/>
        <w:shd w:val="clear" w:color="auto" w:fill="FFFFFF"/>
        <w:spacing w:before="0" w:beforeAutospacing="0" w:after="0" w:afterAutospacing="0"/>
        <w:rPr>
          <w:sz w:val="20"/>
          <w:szCs w:val="20"/>
        </w:rPr>
      </w:pPr>
      <w:r w:rsidRPr="00017292">
        <w:rPr>
          <w:sz w:val="20"/>
          <w:szCs w:val="20"/>
        </w:rPr>
        <w:t>У разі зміни даних щодо РРО/(КОРО), через які здійснюється реалізація пального, до контролюючого органу необхідно подати заяву</w:t>
      </w:r>
    </w:p>
    <w:p w:rsidR="00962E7A" w:rsidRPr="00017292" w:rsidRDefault="00962E7A" w:rsidP="006E3DB0">
      <w:pPr>
        <w:pStyle w:val="NormalWeb"/>
        <w:shd w:val="clear" w:color="auto" w:fill="FFFFFF"/>
        <w:spacing w:before="0" w:beforeAutospacing="0" w:after="0" w:afterAutospacing="0"/>
        <w:jc w:val="both"/>
        <w:rPr>
          <w:sz w:val="20"/>
          <w:szCs w:val="20"/>
        </w:rPr>
      </w:pPr>
      <w:r w:rsidRPr="00017292">
        <w:rPr>
          <w:sz w:val="20"/>
          <w:szCs w:val="20"/>
        </w:rPr>
        <w:t>Інформуємо, що роздрібна торгівля, зокрема, пальним може здійснюватися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у тому числі їх виробниками, за наявності 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 (відповідно до Закону ВР України від 06.09.2012 № 5203 "Про адміністративні послуги").</w:t>
      </w:r>
    </w:p>
    <w:p w:rsidR="00962E7A" w:rsidRPr="00017292" w:rsidRDefault="00962E7A" w:rsidP="006E3DB0">
      <w:pPr>
        <w:pStyle w:val="NormalWeb"/>
        <w:shd w:val="clear" w:color="auto" w:fill="FFFFFF"/>
        <w:spacing w:before="0" w:beforeAutospacing="0" w:after="0" w:afterAutospacing="0"/>
        <w:jc w:val="both"/>
        <w:rPr>
          <w:sz w:val="20"/>
          <w:szCs w:val="20"/>
        </w:rPr>
      </w:pP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Норми визначені частиною двадцятою 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та пального» із змінами та доповненнями (далі – Закон № 481).</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Згідно із частиною тридцять сьомою ст. 15 Закону № 481 у додатку до ліцензії на роздрібну торгівлю алкогольними напоями або пальним суб’єктом господарювання зазначається адреса місця торгівлі і вказуються перелік електронних контрольно-касових апаратів та інформація про них: модель, модифікація, заводський номер, виробник, дата виготовлення; реєстраційні номери книг обліку розрахункових операцій (далі – КОРО), які знаходяться у місці торгівлі, фіскальні номери програмних реєстраторів розрахункових операцій.</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Частиною п’ятдесят першою ст. 15 Закону № 481 встановлено, що у разі зміни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 (за винятком змін, пов’язаних з реорганізацією суб’єкта господарювання (у тому числі іноземного суб’єкта господарювання, який діє через своє зареєстроване постійне представництво) та/або зміною типу акціонерного товариства),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ліцензію з урахуванням змін.</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Законом № 481 не встановлено окремих вимог до заяви та пакету документів, які подаються для внесення змін щодо реєстратора розрахункових операцій (далі – РРО), через який здійснюється реалізація пального, зазначених у додатку до ліцензії на право роздрібної торгівлі пальним.</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Тому для внесення змін у додаток до ліцензії на право роздрібної торгівлі пальним щодо РРО (КОРО), необхідно подати заяву довільної форми із зазначенням адреси місця торгівлі, переліку РРО, програмних РРО (КОРО), які знаходяться у місці торгівлі та інформації про них: модель, модифікація, заводський номер, виробник, дата виготовлення; реєстраційні номери посвідчень РРО (КОРО), які знаходяться у місці торгівлі, фіскальні номери програмних РРО, дату початку їх обліку в контролюючих органах, а також документи, які потребують внесення змін (ліцензія з додатком).</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Орган ліцензування на підставі такої заяви протягом трьох робочих днів видає суб’єкту господарювання переоформлену ліцензію з урахуванням змін (у разі, якщо в результаті внесення таких змін у суб’єкта господарювання кількість РРО (КОРО) залишається незмінною або зменшується).</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Плата за ліцензії на право роздрібної торгівлі пальним справляється щорічно і зараховується до місцевих бюджетів згідно із законодавством.</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При цьому, відповідно до абзацу десятого частини другої ст. 17 Закону № 481 у разі роздрібної торгівлі пальним через РРО (КОРО), не зазначені у ліцензії, 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розмірі 200 відсотків вартості реалізованої через такі РРО (КОРО) продукції, але не менше 10 000 гривень.</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rStyle w:val="Emphasis"/>
          <w:sz w:val="20"/>
          <w:szCs w:val="20"/>
        </w:rPr>
        <w:t>Підписуйтесь на Telegram-канал Державної податкової служби України</w:t>
      </w:r>
      <w:r w:rsidRPr="00017292">
        <w:rPr>
          <w:sz w:val="20"/>
          <w:szCs w:val="20"/>
        </w:rPr>
        <w:t> </w:t>
      </w:r>
      <w:hyperlink r:id="rId14" w:tgtFrame="_blank" w:history="1">
        <w:r w:rsidRPr="00017292">
          <w:rPr>
            <w:rStyle w:val="Hyperlink"/>
            <w:color w:val="auto"/>
            <w:sz w:val="20"/>
            <w:szCs w:val="20"/>
          </w:rPr>
          <w:t>https://t.me/tax_gov_ua</w:t>
        </w:r>
      </w:hyperlink>
    </w:p>
    <w:p w:rsidR="00962E7A" w:rsidRPr="00017292" w:rsidRDefault="00962E7A" w:rsidP="00CC6508">
      <w:pPr>
        <w:pStyle w:val="NormalWeb"/>
        <w:shd w:val="clear" w:color="auto" w:fill="FFFFFF"/>
        <w:spacing w:before="0" w:beforeAutospacing="0" w:after="0" w:afterAutospacing="0"/>
        <w:jc w:val="both"/>
        <w:rPr>
          <w:rStyle w:val="Emphasis"/>
          <w:sz w:val="20"/>
          <w:szCs w:val="20"/>
        </w:rPr>
      </w:pPr>
      <w:r w:rsidRPr="00017292">
        <w:rPr>
          <w:rStyle w:val="Emphasis"/>
          <w:sz w:val="20"/>
          <w:szCs w:val="20"/>
        </w:rPr>
        <w:t>Спілкуйся з Податковою службою дистанційно за допомогою сервісу «</w:t>
      </w:r>
      <w:hyperlink r:id="rId15" w:tgtFrame="_blank" w:history="1">
        <w:r w:rsidRPr="00017292">
          <w:rPr>
            <w:rStyle w:val="Hyperlink"/>
            <w:i/>
            <w:iCs/>
            <w:color w:val="auto"/>
            <w:sz w:val="20"/>
            <w:szCs w:val="20"/>
          </w:rPr>
          <w:t>InfoTAX</w:t>
        </w:r>
      </w:hyperlink>
      <w:r w:rsidRPr="00017292">
        <w:rPr>
          <w:rStyle w:val="Emphasis"/>
          <w:sz w:val="20"/>
          <w:szCs w:val="20"/>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CC6508">
      <w:pPr>
        <w:pStyle w:val="NormalWeb"/>
        <w:shd w:val="clear" w:color="auto" w:fill="FFFFFF"/>
        <w:spacing w:before="0" w:beforeAutospacing="0" w:after="0" w:afterAutospacing="0"/>
        <w:jc w:val="both"/>
        <w:rPr>
          <w:sz w:val="20"/>
          <w:szCs w:val="20"/>
        </w:rPr>
      </w:pPr>
    </w:p>
    <w:p w:rsidR="00962E7A" w:rsidRPr="00017292" w:rsidRDefault="00962E7A" w:rsidP="00CC6508">
      <w:pPr>
        <w:pStyle w:val="Heading1"/>
        <w:shd w:val="clear" w:color="auto" w:fill="FFFFFF"/>
        <w:spacing w:before="0" w:beforeAutospacing="0" w:after="0" w:afterAutospacing="0"/>
        <w:rPr>
          <w:sz w:val="20"/>
          <w:szCs w:val="20"/>
        </w:rPr>
      </w:pPr>
      <w:r w:rsidRPr="00017292">
        <w:rPr>
          <w:sz w:val="20"/>
          <w:szCs w:val="20"/>
        </w:rPr>
        <w:t>Отримана на розрахунковий рахунок ФОП сума кредиту не включається до доходу</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Інформуємо, що фінансовий кредит – це кошти, що надаються банком-резидентом або нерезидентом, що кваліфікується як банківська установа згідно із законодавством країни перебування нерезидента, або резидентами і нерезидентами, які мають згідно з відповідним законодавством статус небанківських фінансових установ, а також іноземною державою або його офіційними агентствами, міжнародними фінансовими організаціями та іншими кредиторами – нерезидентами юридичній чи фізичній особі на визначений строк для цільового використання та під процент.</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Норми встановлені п.п.14.1.258 п.14.1 ст.14 Податкового кодексу України (далі – ПКУ).</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Згідно із п. 177.1 ст. 177 розділу IV ПКУ оподаткуванню підлягають доходи фізичних осіб – підприємців (далі – ФОП), які отримані протягом календарного року від провадження господарської діяльності.</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Якщо ФОП отримав кредит на свій розрахунковий рахунок, враховуючи те, що отримання ФОП кредиту відповідно до умов договору підлягає обов’язковому поверненню у визначені строки, то протягом дії договору кредиту сума кредиту не включається до складу доходу такого суб’єкта господарювання.</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sz w:val="20"/>
          <w:szCs w:val="20"/>
        </w:rPr>
        <w:t>При цьому слід зазначити, якщо сума кредиту не повертається у визначений у договорі термін, то вона включається до складу доходів ФОП та оподатковується на загальних підставах.</w:t>
      </w:r>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rStyle w:val="Emphasis"/>
          <w:sz w:val="20"/>
          <w:szCs w:val="20"/>
        </w:rPr>
        <w:t>Підписуйтесь на Telegram-канал Державної податкової служби України</w:t>
      </w:r>
      <w:r w:rsidRPr="00017292">
        <w:rPr>
          <w:sz w:val="20"/>
          <w:szCs w:val="20"/>
        </w:rPr>
        <w:t> </w:t>
      </w:r>
      <w:hyperlink r:id="rId16" w:tgtFrame="_blank" w:history="1">
        <w:r w:rsidRPr="00017292">
          <w:rPr>
            <w:rStyle w:val="Hyperlink"/>
            <w:color w:val="auto"/>
            <w:sz w:val="20"/>
            <w:szCs w:val="20"/>
          </w:rPr>
          <w:t>https://t.me/tax_gov_ua</w:t>
        </w:r>
      </w:hyperlink>
    </w:p>
    <w:p w:rsidR="00962E7A" w:rsidRPr="00017292" w:rsidRDefault="00962E7A" w:rsidP="00CC6508">
      <w:pPr>
        <w:pStyle w:val="NormalWeb"/>
        <w:shd w:val="clear" w:color="auto" w:fill="FFFFFF"/>
        <w:spacing w:before="0" w:beforeAutospacing="0" w:after="0" w:afterAutospacing="0"/>
        <w:jc w:val="both"/>
        <w:rPr>
          <w:sz w:val="20"/>
          <w:szCs w:val="20"/>
        </w:rPr>
      </w:pPr>
      <w:r w:rsidRPr="00017292">
        <w:rPr>
          <w:rStyle w:val="Emphasis"/>
          <w:sz w:val="20"/>
          <w:szCs w:val="20"/>
        </w:rPr>
        <w:t>Спілкуйся з Податковою службою дистанційно за допомогою сервісу «</w:t>
      </w:r>
      <w:hyperlink r:id="rId17" w:tgtFrame="_blank" w:history="1">
        <w:r w:rsidRPr="00017292">
          <w:rPr>
            <w:rStyle w:val="Hyperlink"/>
            <w:i/>
            <w:iCs/>
            <w:color w:val="auto"/>
            <w:sz w:val="20"/>
            <w:szCs w:val="20"/>
          </w:rPr>
          <w:t>InfoTAX</w:t>
        </w:r>
      </w:hyperlink>
      <w:r w:rsidRPr="00017292">
        <w:rPr>
          <w:rStyle w:val="Emphasis"/>
          <w:sz w:val="20"/>
          <w:szCs w:val="20"/>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3F1829">
      <w:pPr>
        <w:shd w:val="clear" w:color="auto" w:fill="FFFFFF"/>
        <w:spacing w:after="0" w:line="240" w:lineRule="auto"/>
        <w:outlineLvl w:val="0"/>
        <w:rPr>
          <w:rFonts w:ascii="Times New Roman" w:hAnsi="Times New Roman"/>
          <w:kern w:val="36"/>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Фізична особа – громадянин, яка не має КЕП, для отримання інформації щодо стану розрахунків за податками і зборами подає письмову заяву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Звертаємо увагу, що за кожним платником та кожним видом платежу, які повинні сплачуватися такими платниками з метою обліку нарахованих і сплачених сум податків, зборів, митних та інших платежів до бюджетів, єдиного внеску на загальнообов’язкове державне соціальне страхування органами ДПС відкриваються інтегровані картки платників (далі – ІКП).</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визначені п. 1 глави 1 розділу ІІ Порядку ведення органами Державної фіскальної служби України оперативного обліку податків і зборів, митних та інших платежів до бюджетів, єдиного внеску на загальнообов’язкове державне соціальне страхування, затвердженого наказом Міністерства фінансів України від 07.04.2016 № 422 (далі – Порядок).</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ІКП містить інформацію про облікові операції та облікові показники, які характеризують стан розрахунків платника податків з бюджетами та цільовими фондами за відповідним видом платежу.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Відповідно до п. 2 глави 1 розділу ІІ Порядку ІКП відкривається, зокрема:</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за місцем проживання фізичних осіб (основне місце обліку);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за місцем розташування рухомого та нерухомого майна, об’єктів опод</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аткування або об’єктів, які пов’язані з оподаткуванням, або через які проводиться діяльність (неосновне місце обліку).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зі ст. 1 Закону України від 02 жовтня 1996 року № 393/96-ВР «Про звернення громадян» із змінами та доповненнями (далі – Закон № 393) громадяни України мають право звернутися до органів державної влади, зокрема із заявою або клопотанням щодо реалізації своїх соціально-економічних та особистих прав і законних інтересів.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При цьому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(ст. 20 Закону № 393).</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Отже, фізична особа – громадянин, яка не має кваліфікованого електронного підпису, для отримання інформації щодо стану розрахунків за податками та зборами має звернутися з письмовою заявою до контролюючого органу за місцем своєї реєстрації в органах ДПС.</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Контролюючий орган за письмовою заявою фізичної особи – громадянина надає письмовий документ щодо стану розрахунків цього платника за податками, зборами у довільній формі.</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Такий письмовий документ видається не пізніше п’ятнадцяти робочих днів з дня отримання заяви, в якій фізичною особою – громадянином зазначено платежі і період щодо яких здійснюється звірка стану розрахунків з бюджетами.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18"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19"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Платники Дніпропетровщини спрямували до бюджетів усіх рівнів та єдиного внеску за одиннадцять місяців 2020 року майже 58 мільярдів 70 мільйонів гривень</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Платниками Дніпропетровщини спрямовано до бюджетів усіх рівнів за січень – листопад 2020 року (без урахування єдиного внеску на загальнообов’язкове державне соціальне страхування) 58 млрд 68,4 млн гривень.</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до державного бюджету надійшло 20 млрд 325,5 млн грн, що на 111,4 млн грн більше у порівнянні з аналогічним періодом 2019 року.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До місцевих бюджетів надійшло 22 млрд 639,1 млн грн, що на 580,8 млн грн більше відповідного періоду 2019 року.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 підсумками одинадцяти місяців поточного року єдиного внеску на загальнообов’язкове державне соціальне страхування надійшло 15 млрд 103,9 млн грн, що перевищує минулорічні показники на 709,1 млн гривень.</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Криворізький північний відділ організації роботи ГУ ДПС у Дніпропетровській області</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Порядок оформлення трудових відносин з найманими працівниками є однаковим для всіх роботодавців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Інформуємо, що всі роботодавці мають дотримуватися законодавства про працю.</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Відповідно до норм Кодексу законів про працю України порядок оформлення трудових відносин з найманими працівниками є однаковим для всіх роботодавців – юридичних і фізичних осіб. Він включає три основні кроки: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укладення трудового договору;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оформлення наказу про прийняття на роботу;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повідомлення до Державної податкової служби.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Для укладання трудового договору працівник має надати: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паспорт або інший документ, що посвідчує особу;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реєстраційний номер облікової картки платника податків;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трудову книжку (за наявності).</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необхідно для роботи, надаються документи про освіту, довідка про стан здоров’я тощо.</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Трудовий договір можна укласти в усній або письмовій формі.</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Письмова форма обов’язкова:</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на цьому наполягає працівник;</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у разі організованого набора працівників;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у разі роботи в районах з особливими природними умовами та високим ризиком для здоров’я (наприклад, радіоактивно забруднена територія);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при укладенні контракту;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при укладенні договору з неповнолітнім;</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роботодавцем є фізична особа – підприємець або фізична особа;</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працівників релігійних організацій;</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працівників, які проходять альтернативну службу;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працівників, які беруть участь у громадських роботах;</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працівників фермерських господарств.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 інших випадках укладається усний договір. Для цього працівнику потрібно написати заяву про прийняття на роботу на ім’я керівника. В свою чергу, керівник візує заяву.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Трудовий договір може бути безстроковим, на визначений строк, на час виконання певної роботи.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Після укладення трудового договору роботодавець видає наказ або розпорядження про прийняття працівника на роботу.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Після укладення трудового договору необхідно повідомити Державну податкову службу України про прийняття працівника на роботу за формою, затвердженою постановою Кабінету Міністрів України від 17 червня 2015 року  № 413 із змінами.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20"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21"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Оподаткування ПДФО новорічних подарунків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об’єктом оподаткування податком на доходи фізичних осіб фізичної (далі – ПДФО) особи – резидента є загальний місячний (річний) оподатковуваний дохід.</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визначені п.п. 163.1.1 п. 163.1 ст. 163 Податкового кодексу України (далі –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Водночас, п.п. 165.1.39 п. 165.1 ст. 165 ПКУ встановлено, що не включається до розрахунку загального місячного (річного) оподатковуваного доходу ПДФО вартість дарунків (а також призів переможцям та призерам спортивних змагань) – у частині, що не перевищує 25 відсотків однієї мінімальної заробітної плати (у розрахунку на місяць), встановленої на 1 січня звітного податкового року, за винятком грошових виплат у будь-якій сумі.</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Отже, якщо платником ПДФО отримано новорічні подарунки у вартості, що не перевищує 25 відсотків однієї мінімальної заробітної плати (у розрахунку на місяць), встановленої на 1 січня звітного податкового року, то вартість таких подарунків не включається до оподатковуваного доходу. При цьому, якщо вартість подарунків перевищить 25 відсотків однієї мінімальної заробітної плати (у розрахунку на місяць), то сума перевищення включається до розрахунку загального місячного (річного) оподатковуваного доходу ПДФО.</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Звертаємо увагу, якщо новорічні подарунки планується дарувати у 2020 році (тобто, нарахування такого доходу відбудеться у 2020 році), то вартість неоподатковуваних подарунків обчислюватиметься виходячи з розміру мінімальної заробітної плати, встановленої на 01.01.2020, а якщо – у 2021, то – з нового розміру мінімальної заробітної плати, встановленої на 01.01.2021.</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Порядок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за формою № 1ДФ затверджено наказом Міністерства фінансів України від 13.01.2015 № 4 із змінами та доповненнями (далі – Порядок № 4).</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 Довідником ознак доходів, наведеним у додатку до Порядку № 4 вартість подарунків, якщо їх вартість не вище встановленого співвідношення до однієї мінімальної заробітної плати (у розрахунку на місяць), встановленої на      01 січня звітного податкового року, за винятком грошових виплат у будь-якій сумі відображається в податковому розрахунку за формою № 1ДФ під ознакою доходу «160».</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Якщо вартість подарунків, перевищує вказаний розмір, то сума такого перевищення відображається у податковому розрахунку за формою № 1ДФ під ознакою доходу «126».</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22"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23"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ФОП – «єдинник» ІІ групи надає послуги фізособі, але оплата вартості послуг здійснюється юрособою – «загальносистемником»: що з єдиним податком?</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Повідомляємо, що однією з умов перебування фізичних осіб – підприємців (далі – ФОП) на другій групі платників єдиного податку є здійснення господарської діяльності з надання послуг, у тому числі побутових, виключно платникам єдиного податку та/або населенню.</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встановлені п.п. 2 п. 291.4 ст. 291 Податкового кодексу України (далі –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зі ст. 901 Цивільного кодексу України від 16 січня 2003 року № 435-IV із змінами та доповненнями (далі – ЦКУ) 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Сторонами договору про надання послуг виступають замовник (послугоотримувач) та виконавець (послугонадавач).</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Отже, нормами законодавства передбачено, що договір про надання послуг є складним зобов’язанням, що складається з двох зобов’язань: правовідношення, в якому виконавець повинен надати послугу, а замовник має право вимагати виконання цього обов’язку, та правовідношення, в якому замовник зобов’язаний оплатити надану послугу, а виконавець має право вимагати від замовника відповідної оплати.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Враховуючи вищевикладене, якщо ФОП – платник єдиного податку другої групи надає послуги відповідно до договору, яким визначено, що замовником є фізична особа, яка підписує акт виконаних робіт, але вартість виконаних послуг для фізичної особи оплачує юридична особа, яка не є платником єдиного податку, то такий ФОП має право здійснювати діяльність на другій групі платників єдиного податку.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Якщо ФОП – платник єдиного податку другої групи надає послуги відповідно до договору, яким визначено, що замовником є юридична особа – не платник єдиного податку, яка підписує акт виконаних робіт та оплачує вартість виконаних послуг, то такий ФОП порушує умови, передбачені ПКУ для другої групи платників єдиного податку і якщо такий ФОП не планує змінювати систему оподаткування, то він має обрати третю групу єдиного податку.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24"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25"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Постійні представництва з метою оподаткування прирівнюються до платників податку на прибуток</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Звертаємо увагу, що відповідно до п.п. 133.2.2 п. 133.2 ст. 133 Податкового кодексу України (далі – ПКУ) нерезиденти, які здійснюють господарську діяльність на території України через постійне представництво та/або отримують доходи із джерелом походження з України, та інші нерезиденти, на яких покладено обов’язок сплачувати податок у порядку, встановленому розділом ІІІ ПКУ, є платниками податку на прибуток.</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Перелік доходів, отриманих нерезидентом із джерелом їх походження з України, визначено п.п. 141.4.1 п. 141.4 ст. 141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 абзацом першим п.п. 141.4.2 п. 141.4 ст. 141 ПКУ резидент, у тому числі фізична особа підприємець, фізична особа, яка провадить незалежну професійну діяльність, або суб’єкт господарювання (юридична особа чи фізична особа підприємець), який обрав спрощену систему оподаткування, або інший нерезидент, який провадить господарську діяльність через постійне представництво на території України, які здійснюють на користь нерезидента або уповноваженої ним особи будь-яку виплату з доходу з джерелом його походження з України, отриманого таким нерезидентом (у тому числі на рахунки нерезидента, що ведуться в національній валюті), утримують податок з таких доходів, зазначених у п.п. 141.4.1 п. 141.4 ст. 141 ПКУ, за ставкою в розмірі 15 відс. </w:t>
      </w:r>
      <w:r w:rsidRPr="00017292">
        <w:rPr>
          <w:rFonts w:ascii="Times New Roman" w:hAnsi="Times New Roman"/>
          <w:i/>
          <w:iCs/>
          <w:sz w:val="20"/>
          <w:szCs w:val="20"/>
          <w:lang w:eastAsia="ru-RU"/>
        </w:rPr>
        <w:t>(крім доходів, зазначених у підпунктах 141.4.3 – 141.4.6 та 141.4.11 п. 141.4 ст. 141 ПКУ)</w:t>
      </w:r>
      <w:r w:rsidRPr="00017292">
        <w:rPr>
          <w:rFonts w:ascii="Times New Roman" w:hAnsi="Times New Roman"/>
          <w:sz w:val="20"/>
          <w:szCs w:val="20"/>
          <w:lang w:eastAsia="ru-RU"/>
        </w:rPr>
        <w:t> їх суми та за їх рахунок, що сплачується до бюджету під час такої виплати, якщо інше не передбачено положеннями міжнародних договорів України з країнами резиденції осіб, на користь яких здійснюються виплати, що набрали чинності. Вимоги цього абзацу не застосовуються до доходів нерезидентів, що отримуються ними через їх постійні представництва на території України.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Підпунктом 141.4.7 п. 141.4 ст. 141 ПКУ встановлено, що суми прибутків нерезидентів, які провадять свою діяльність на території України через постійне представництво, оподатковуються в загальному порядку. При цьому таке постійне представництво прирівнюється з метою оподаткування до платника податку, який провадить свою діяльність незалежно від такого нерезидента.</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Постійне представництво визначає обсяг оподатковуваного прибутку, отриманого протягом звітного (податкового) періоду, відповідно до принципу «витягнутої руки». Оподатковуваний прибуток постійного представництва має відповідати прибутку незалежного підприємства, що здійснює таку саму або аналогічну діяльність у таких самих або аналогічних умовах і діє в повній незалежності від нерезидента, постійним представництвом якого воно є.</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Обсяг оподатковуваного прибутку постійного представництва розраховується відповідно до положень ст. 39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Тобто, прибуток постійного представництва в Україні оподатковується за ставкою, встановленою п. 136.1 ст. 136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Базова (основна) ставка податку становить 18 відсотків (п. 136.1 ст. 136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Отже, оскільки постійні представництва з метою оподаткування прирівнюються до платників податку на прибуток, їх об’єкт оподаткування податком на прибуток обчислюється у загальному порядку.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При виплаті нерезиденту доходу (прибутку) з джерелом походження з України через постійне представництво нерезидента, податок, визначений відповідно до п.п. 141.4.2 п. 141.4 ст. 141 ПКУ, не стягується у разі, якщо такий дохід (прибуток), який виплачує представництво нерезиденту, був оподаткований податком на прибуток при визначенні доходу (прибутку) з джерелом походження з України від провадження нерезидентом господарської діяльності через своє постійне представництво в Україні відповідно до п.п. 141.4.7 п. 141.4 ст. 141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26"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27"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Деякі особливості маркування алкогольних напоїв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Відповідно до п. 1 ст. 15 Закону України від 12 травня 1991 року № 1023-XII «Про захист прав споживачів» із змінами та доповненнями (далі – Закон № 1023)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Інформація повинна бути надана споживачеві до придбання ним товару чи замовлення роботи (послуги).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Серед переліку відомостей, які мають бути зазначені в інформації про продукцію, зазначено дату виготовлення.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 п. 2 ст. 15 Закону № 1023 інформація, передбачена частиною першою ст. 15 Закону № 1023, доводиться до відома споживачів виробником (виконавцем, продавцем) у супровідній документації, що додається до продукції, на етикетці, а також у маркуванні чи іншим способом (у доступній наочній формі), прийнятим для окремих видів продукції або в окремих сферах обслуговування.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Статтею 11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та пального» із змінами та доповненнями (далі – Закон № 481) визначено вимоги щодо маркування алкогольних напоїв, зокрема згідно з пунктів 1 та 2 ст. 11 Закону № 481 на видимій стороні етикетки, або контретикетки, або корка, або пляшки (іншого посуду) горілки, лікеро-горілчаних виробів, виноробної продукції, у тому числі сидру і перрі (без додання спирту), які реалізуються в Україні, в обов’язковому порядку зазначається дата виготовлення виробу.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28"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29"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Default="00962E7A" w:rsidP="003F1829">
      <w:pPr>
        <w:shd w:val="clear" w:color="auto" w:fill="FFFFFF"/>
        <w:spacing w:after="0" w:line="240" w:lineRule="auto"/>
        <w:outlineLvl w:val="0"/>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Наявність у «єдинника» боргу понад 1020 грн протягом двох послідовних кварталів зобов’язує його відмовитись від спрощеної системи оподаткування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Законами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(набрав чинності 23.05.2020) (далі – Закон № 466), від 30 березня 2020 року № 540-ІХ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(СОVID-19)» (набрав чинності 02.04.2020) (далі – Закон № 540) внесено зміни, зокрема, до глави 1 розділу XIV Податкового кодексу України (далі –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 урахуванням змін, внесених Законом № 540, та відповідно до п.п. 3 п. 291.4 ст. 291 ПКУ з 02.04.2020 збільшено граничний обсяг доходу для юридичних осіб –  платників єдиного податку третьої групи (далі – платники податку) з 5 до 7 млн гривень.</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Таким чином, платники єдиного податку третьої групи, які за результатами господарської діяльності у І кварталі 2020 року не перевищили граничний обсяг доходу у розмірі 5 млн грн, мали право перебувати на спрощеній системі оподаткування. При цьому такі платники з 02.04.2020 дотримуються нового річного граничного обсягу доходу у розмірі 7 млн грн, який визначається за період з 01.01.2020 по 31.12.2020 (включно).</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заява для відмови від спрощеної системи оподаткування у зв’язку з перевищенням граничної суми доходу подається до контролюючого органу не пізніше 20 числа місяця, наступного за календарним кварталом, у якому допущено перевищення обсягу доходу.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Починаючи з 23.05.2020 Законом № 466 визначено розмір податкового боргу, наявність якого у платника податку протягом двох послідовних кварталів зобов’язує його самостійно відмовитись від спрощеної системи оподаткування або дає право контролюючому органу прийняти рішення про анулювання реєстрації платником податку.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Відтепер встановлено, що така сума податкового боргу для платників податку повинна перевищувати шістдесят неоподатковуваних мінімумів доходів громадян, а саме – 1 020 гривень.</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Тобто, якщо, наприклад, податковий борг в сумі понад 1 020 грн обліковується у юридичної особи – платника єдиного податку третьої групи на кожне перше число протягом 6-ти місяців двох послідовних кварталів, то такий платник зобов’язаний перейти на сплату інших податків і зборів в останній день другого із двох послідовних кварталів (останній день шостого місяця).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Також Законом № 466 визначено терміни для подання платниками податку заяв: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у разі зміни ставки з 5 на 3 відс. – не пізніше ніж за 10 календарних днів до початку календарного кварталу (раніше – за 15 календарних днів);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у разі зміни податкової адреси суб’єкта господарювання, місця провадження господарської діяльності – не пізніше останнього дня кварталу, в якому відбулися такі зміни (раніше – разом з податковою декларацією платника податку).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30"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31"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Набули чинності зміни до переліків, затверджених постановами Кабінету Міністрів України № 224 та № 225</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Доводимо до відома платників ПДВ, що 03.12.2020 набрала чинності постанова Кабінету Міністрів України від  02 грудня 2020 р. № 1178 «Про внесення змін до переліків, затверджених постановами Кабінету Міністрів України від 20 березня 2020 р. № 224 і 225» (далі – Постанова № 1178).</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Постанова № 1178 внесено зміни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затвердженого постановою Кабінету Міністрів України від 20 березня 2020 р. № 224 і переліку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 затвердженого постановою Кабінету Міністрів України від 20 березня 2020 р. № 225 «Деякі питання закупівлі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Постанова № 1178 опублікована в офіційному виданні «Урядовий кур’єр» від 03.12.2020 № 235.</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32"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33"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Що є об’єктом оподаткування рентною платою за користування надрами в цілях, не пов’язаних з видобуванням корисних копалин?</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Законом України від 28 грудня 2014 року № 71-VIII «Про внесення змін до Податкового кодексу України та деяких законодавчих актів України щодо податкової реформи», плату за користування надрами в цілях, не пов’язаних з видобуванням корисних копалин трансформовано в одну із складових рентної плати – рентна плата за користування надрами в цілях, не пов’язаних з видобуванням корисних копалин.</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із п. 253.3 ст. 253 Податкового кодексу України об’єктом оподаткування рентною платою за користування надрами в цілях, не пов’язаних з видобуванням корисних копалин, є обсяг підземного простору (ділянки) надр:</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зберігання природного газу та газоподібних продуктів – активний об’єм зберігання газу в пористих чи тріщинуватих геологічних утвореннях (пластах-колекторах);</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зберігання нафти та інших рідких нафтопродуктів – об’єм спеціально створених та існуючих гірничих виробок (відпрацьованих і пристосованих), а також природних порожнин (печер);</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витримування виноматеріалів, виробництва і зберігання винопродукції, вирощування грибів, овочів, квітів та інших рослин, зберігання харчових продуктів, промислових та інших товарів, речовин і матеріалів, провадження інших видів господарської діяльності – площа підземного простору, що надана у користування в спеціально створених та існуючих гірничих виробках (відпрацьованих і пристосованих), а також природних порожнинах (печерах).</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34"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35"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rPr>
          <w:rFonts w:ascii="Times New Roman" w:hAnsi="Times New Roman"/>
          <w:sz w:val="20"/>
          <w:szCs w:val="20"/>
          <w:lang w:eastAsia="ru-RU"/>
        </w:rPr>
      </w:pPr>
    </w:p>
    <w:p w:rsidR="00962E7A" w:rsidRPr="00017292" w:rsidRDefault="00962E7A" w:rsidP="003F1829">
      <w:pPr>
        <w:shd w:val="clear" w:color="auto" w:fill="FFFFFF"/>
        <w:spacing w:after="0" w:line="240" w:lineRule="auto"/>
        <w:rPr>
          <w:rFonts w:ascii="Times New Roman" w:hAnsi="Times New Roman"/>
          <w:sz w:val="20"/>
          <w:szCs w:val="20"/>
          <w:lang w:eastAsia="ru-RU"/>
        </w:rPr>
      </w:pPr>
      <w:r w:rsidRPr="00017292">
        <w:rPr>
          <w:rFonts w:ascii="Times New Roman" w:hAnsi="Times New Roman"/>
          <w:sz w:val="20"/>
          <w:szCs w:val="20"/>
          <w:lang w:eastAsia="ru-RU"/>
        </w:rPr>
        <w:t> </w:t>
      </w: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Єдиний внесок не нараховується на суму орендної плати, виплаченої на користь фізичної особи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Інформує, що базою нарахування єдиного внеску на загальнообов’язкове державне соціальне страхування (далі – єдиний внесок) для підприємств, установ та організацій,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w:t>
      </w:r>
      <w:r w:rsidRPr="00017292">
        <w:rPr>
          <w:rFonts w:ascii="Times New Roman" w:hAnsi="Times New Roman"/>
          <w:i/>
          <w:iCs/>
          <w:sz w:val="20"/>
          <w:szCs w:val="20"/>
          <w:lang w:eastAsia="ru-RU"/>
        </w:rPr>
        <w:t>(крім цивільно-правового договору, укладеного з фізичною особою – підприємцем (далі –  ФОП)</w:t>
      </w:r>
      <w:r w:rsidRPr="00017292">
        <w:rPr>
          <w:rFonts w:ascii="Times New Roman" w:hAnsi="Times New Roman"/>
          <w:sz w:val="20"/>
          <w:szCs w:val="20"/>
          <w:lang w:eastAsia="ru-RU"/>
        </w:rPr>
        <w:t>, </w:t>
      </w:r>
      <w:r w:rsidRPr="00017292">
        <w:rPr>
          <w:rFonts w:ascii="Times New Roman" w:hAnsi="Times New Roman"/>
          <w:i/>
          <w:iCs/>
          <w:sz w:val="20"/>
          <w:szCs w:val="20"/>
          <w:lang w:eastAsia="ru-RU"/>
        </w:rPr>
        <w:t>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w:t>
      </w:r>
      <w:r w:rsidRPr="00017292">
        <w:rPr>
          <w:rFonts w:ascii="Times New Roman" w:hAnsi="Times New Roman"/>
          <w:sz w:val="20"/>
          <w:szCs w:val="20"/>
          <w:lang w:eastAsia="ru-RU"/>
        </w:rPr>
        <w:t>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 та сума винагороди фізичній особі за виконання робіт (надання послуг) за цивільно-правовими договорами.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встановлені п. 1 частини 1 ст. 7 Закону України від 08 липня 2010 року № 2464-VI «Про збір та облік єдиного внеску на загальнообов’язкове державне соціальне страхування» зі змінами та доповненнями.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 частиною першою ст. 759 Цивільного кодексу України від 16 січня 2003 року № 435-IV із змінами та доповненнями за договором оренди одна сторона (орендодавець) передає іншій стороні (орендареві) за плату на певний строк у користування майно для здійснення господарської діяльності. Поточний ремонт речі, переданої у найм, провадиться наймачем за його рахунок, якщо інше не встановлено договором або законом.</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Отже, відносини, які виникають при укладенні договору найму (оренди), не мають ознак правовідносин, що регулюють виконання робіт або надання послуг.</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Враховуючи вищевикладене, єдиний внесок не нараховується на суму орендної плати, виплаченої на користь фізичної особи згідно договору найму (оренди) нерухомого (рухомого) майна.</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36"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37"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Фізособа за земельні ділянки, що утворилися за рахунок переданих за рішенням відповідної ради земельних паїв, земельний податок сплачує</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ст. 281 Податкового кодексу України (далі – ПКУ) чітко визначено категорії фізичних осіб, що мають право на пільги щодо сплати земельного податку, та надано вичерпний перелік видів земельних ділянок та їх розмір, щодо яких зазначені категорії фізичних осіб мають право скористатись пільгами.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Водночас до даного переліку не включено земельні ділянки, що утворилися за рахунок переданих за рішенням відповідної ради земельних часток (паїв).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 урахуванням викладеного, пільги щодо сплати земельного податку для фізичних осіб за земельні ділянки, що утворилися за рахунок переданих за рішенням відповідної ради земельних часток (паїв), не передбачені і відповідно земельний податок за такі ділянки справляється на загальних підставах.</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Разом з цим, згідно з п. 281.3 ст. 281 ПКУ від сплати земельного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38"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39"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Олексій Любченко: ДПС завжди підтримуватиме чесний бізнес</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Голова ДПС Олексій Любченко взяв участь в урочистостях з нагоди відзначення переможців рейтингу «Сумлінні платники податків», проведених в онлайн-режимі за ініціативи ВГО «Асоціація платників податків України». Почесними учасниками заходу також стали Міністр фінансів України Сергій Марченко, Президент Асоціації Грігол Катамадзе, Президент Українського союзу промисловців і підприємців Анатолій Кінах та переможці рейтингу.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«Державна податкова служба завжди відкрита до партнерської співпраці з платниками податків. Ми вдосконалюємо свою роботу з урахуванням потреб бізнесу, запускаємо нові сервіси, яких від нас очікує підприємницьке середовище. На новий рівень вийшла співпраця з бізнес-асоціаціями, з якими ми спільно знаходимо шляхи до вирішення спірних питань. ДПС завжди підтримуватиме чесний бізнес. Приємно, що завдяки рейтингу сумлінних платників ми маємо змогу подякувати чесному бізнесу за сплачені податки та фінансовий розвиток країни», – наголосив Олексій Любченко.</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Про важливість підтримки чесного бізнесу наголосив і Міністр фінансів України Сергій Марченко. Адже від схем ухилення від сплати податків страждає як чесний бізнес, який сплачує податки, так і економіка країни. І наразі результати із забезпечення надходжень до бюджету свідчать про створення належних умов для роботи чесного бізнесу. За його словами, збільшення податкових надходжень досягнуто без жодного тиску на бізнес, а за рахунок мінімізації схем ухилення від сплати податків та покращення процесів адміністрування.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Рейтинг сумлінних платників податків щорічно проводиться за ініціативою Асоціації платників податків України. Підприємства оцінюються за такими критеріями, як повнота та своєчасність сплати податків, дотримання податкової дисципліни, розмір середньомісячної заробітної плати по підприємству, кількість офіційно працевлаштованих осіб, суми коштів, витрачених на соціальні програми та благодійні акції тощо.</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Цього року переможцями стали 40 представників великого, середнього та малого бізнесу. Переможців обирали у категоріях «Промисловість», «Культура», «Інформація та телекомунікація», «Аграрний сектор», «Фармацевтика». «Торгівля», «Наука» та ін.</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Рейтинг сумлінних платників податків проводиться з 2011 року.</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Компенсація працівникам вартості пально-мастильних матеріалів: чи є база для нарахування єдиного внеску?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Відповідно до п. 1 частини 1 ст. 7 Закону України від 08 липня 2010 року № 2464-VI «Про збір та облік єдиного внеску на загальнообов’язкове державне соціальне страхування» зі змінами та доповненнями базою нарахування єдиного внеску на загальнообов’язкове державне соціальне страхування (далі – єдиний внесок) для підприємств, установ та організацій,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w:t>
      </w:r>
      <w:r w:rsidRPr="00017292">
        <w:rPr>
          <w:rFonts w:ascii="Times New Roman" w:hAnsi="Times New Roman"/>
          <w:i/>
          <w:iCs/>
          <w:sz w:val="20"/>
          <w:szCs w:val="20"/>
          <w:lang w:eastAsia="ru-RU"/>
        </w:rPr>
        <w:t>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w:t>
      </w:r>
      <w:r w:rsidRPr="00017292">
        <w:rPr>
          <w:rFonts w:ascii="Times New Roman" w:hAnsi="Times New Roman"/>
          <w:sz w:val="20"/>
          <w:szCs w:val="20"/>
          <w:lang w:eastAsia="ru-RU"/>
        </w:rPr>
        <w:t>,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 та сума винагороди фізичним особам за виконання робіт (надання послуг) за цивільно-правовими договорами.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Постановою Кабінету Міністрів України від 22 грудня 2010 року № 1170 затверджено Перелік видів виплат, що здійснюються за рахунок коштів роботодавців, на які не нараховується єдиний внесок на загальнообов’язкове державне соціальне страхування, відповідно до п. 11 розділу І якого сума компенсації працівникам за використання для потреб виробництва власного інструмента та особистого транспорту, не є базою нарахування єдиного внеску.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Враховуючи викладене вище, не є базою нарахування єдиного внеску сума компенсації працівникам вартості пально-мастильних матеріалів, витрачених в межах господарської діяльності роботодавця, у разі використання такими працівниками власних транспортних засобів.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40"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41"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Податкова знижка за витратами у вигляді пожертвувань на запобігання поширенню гострої респіраторної хвороби COVID-19</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Інформуємо, що платник податку на доходи фізичних осіб (далі – ПДФО)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Податкового кодексу України (далі – ПКУ), фактично здійснені ним протягом звітного податкового року витрати, зокрема, суму коштів або вартість майна, перерахованих (переданих) платником ПДФО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 133.4 ст. 133 ПКУ, у розмірі, що не перевищує 4 відс. суми його загального оподатковуваного доходу такого звітного року.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встановлені 166.3.2 п. 166.3 ст. 166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Водночас, 02 квітня 2020 року набрав чинності Закон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із змінами та доповненнями (далі – Закон № 540), відповідно якого внесені зміни до ПКУ, зокрема, підрозділу 1 розділу ХХ «Перехідні положення» ПКУ доповнено новим п. 11 (п. 1 розділу І Закону № 540) та зобов’язано Кабінет Міністрів України (далі – КМУ) розробити та затвердити перелік товарів протиепідемічного призначення, що необхідні для запобігання поширенню епідемій, пандемій, коронавірусної хвороби (COVID-19) (п.п. 5 п. 8 розділу ІІ «Прикінцеві та перехідні положення» Закону № 540).</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п. 11 підрозділу 1 розділу ХХ «Перехідні положення» ПКУ встановлено, що за результатами 2020 року, при реалізації права на податкову знижку відповідно до положень ст. 166 ПКУ, сума коштів або вартість лікарських засобів для надання медичної допомоги хворим, дезінфекційних засобів і антисептиків, медичного обладнання, засобів індивідуального захисту, медичних виробів для скринінгу хворих, розхідних матеріалів для надання медичної допомоги, медичних виробів, лабораторного обладнання, розхідних матеріалів, реагентів для лабораторних досліджень; медичних виробів, лабораторного обладнання, розхідних матеріалів для інфекційних відділень, патологоанатомічних відділень тощо, засобів особистої гігієни, продуктів харчування та/або товарів за переліком, що визначається КМУ, які добровільно перераховані (передані) громадським об’єднанням та/або благодійним організаціям та/або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особі, уповноваженій на здійснення закупівель у сфері охорони здоров’я, та/або закладам охорони здоров’я державної та/або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протягом карантину, що запроваджений КМУ у порядку, встановленому законом, на всій території України з метою запобігання поширенню на території України коронавірусної хвороби (COVID-19), включається до податкової знижки у повному обсязі без урахування обмежень, визначених п.п. 166.3.2 п. 166.3 ст. 166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Таким чином, до витрат платника податків, понесених з метою запобігання поширенню на території України коронавірусної хвороби COVID-19, включатиметься сума коштів або вартість товарів, які добровільно перераховані (передані) як благодійність відповідним організаціям та/або органам виконавчої влади, закладам охорони здоров’я, тощо.</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При цьому перелік товарів (в тому числі лікарських засобів, медичних виробів, тощо), витрати на які включатимуться до податкової знижки, визначається КМУ.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платники скористатись правом на податкову знижку за результатами 2019 року можуть до кінця поточного року. Для цього таким платникам необхідно подати податкову декларацію про майновий стан і доходи по 31 грудня 2020 року включно.</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42"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43"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Підстави для нарахування земельного податку та орендної плати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плата за землю –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(далі – орендна плата).</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визначені п.п. 14.1.147 п. 14.1 ст. 14 Податкового кодексу .</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Пунктом 286.1 ст. 286 ПКУ встановлено, що підставою для нарахування земельного податку є дані державного земельного кадастру.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 п. 288.1 ст. 288 ПКУ підставою для нарахування орендної плати за земельну ділянку є договір оренди такої земельної ділянки.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Органи виконавчої влади та органи місцевого самоврядування, які укладають договори оренди землі, повинні до 01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01 числа місяця, що настає за місяцем, у якому відбулися зазначені зміни.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Форма надання інформації затверджується центральним органом виконавчої влади, що забезпечує формування державної фінансової політики.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Договір оренди земель державної і комунальної власності укладається за типовою формою, затвердженою Кабінетом Міністрів України.</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44"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45"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На Дніпропетровщині оперативно зупинені штучні зобов’язання на суму понад 125 млн гривень</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 ході моніторингу фінансово – господарських операцій, по «гарячих слідах» зупинено розповсюдження обсягів ймовірно – фіктивних  псевдобудівельно – монтажних послуг на суму 125,3 млн гривень.</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підприємство шляхом штучного маніпулювання показників податкової звітності, безпідставно збільшило суму ліміту в СЕА ПДВ за рахунок реєстрації в ЄРПН розрахунків коригування за періоди 2018 – 2019 років. Підприємство зареєструвало в ЄРПН розрахунки коригування в бік зменшення податкових зобов’язань в адресу неплатників ПДВ з номенклатурою «будівельно – монтажні послуги», що призвело до безпідставного збільшення суми податкового ліміту в СЕА ПДВ. Головним управлінням ДПС у Дніпропетровській області оперативно включено підприємство до переліку ризикових платників, чим упереджено розповсюдження штучних зобов’язань на суму 125,3 млн. гривень.</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Головним управлінням ДПС у Дніпропетровській області оперативно здійснено низку невідкладних заходів: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суб’єкт господарювання включено до переліку ризикових платників;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повідомлено Головне управління Національної поліції у Дніпропетровській області з метою визначення причетних до протиправних дій осіб;</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повідомлено органи юстиції щодо вірогідного факту компрометації особистих електронних ключів.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Матеріали аналітичного дослідження направлені до правоохоронних органів для розгляду питання стосовно відкриття кримінального провадження за статтями 364 та 366 КК України.</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Перехід із загальної системи оподаткування на спрощену без сплати ПДВ: термін подання заяви за формою № 3-ПДВ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із п.п. «в» п. 184.1 ст. 184 Податкового кодексу України (далі – ПКУ) та п.п. «в»   п. 5.1 розділу Положення про реєстрацію платників податку на додану вартість, затвердженого наказом Міністерства фінансів України від 14.11.2014 № 1130, який зареєстровано в Міністерстві юстиції України 17.11.2014 за № 1456/26233 із змінами (далі – Положення № 1130), реєстрація діє до дати анулювання реєстрації платника ПДВ, яка проводиться шляхом виключення з реєстру платників ПДВ (далі – Реєстр) і відбувається у разі якщо, будь-яка особа, зареєстрована як платник податку, реєструється як платник єдиного податку, умова сплати якого не передбачає сплати ПДВ.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Підпунктом 298.1.4 п. 298.1 ст. 298 ПКУ визначено, що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 умови дотримання платником єдиного податку вимог, встановлених ПКУ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ПДВ, анулюється реєстрація ПДВ у порядку, встановленому ПКУ, у разі обрання ним першої або другої групи чи ставки єдиного податку, встановленої для третьої групи, яка включає ПДВ до складу єдиного податку (п.п. 298.1.5 п. 298.1 ст. 298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Відповідно до п. 5.3 розділу V Положення № 1130 для анулювання реєстрації платник ПДВ подає до контролюючого органу за місцем перебування на обліку заяву про анулювання реєстрації платника ПДВ за формою № 3-ПДВ. Платники ПДВ, які уклали з відповідним контролюючим органом договір про визнання електронних документів, можуть подати заяву за формою № 3-ПДВ засобами електронного зв’язку в електронній формі з дотриманням умови щодо реєстрації кваліфікованого електронного підпису підзвітних осіб у порядку, визначеному законодавством.</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Рішення про анулювання реєстрації за заявою платника ПДВ приймається контролюючим органом протягом 10 календарних днів.</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Для зручності платники ПДВ, які відповідно до норм ПКУ прийняли рішення про перехід на спрощену систему оподаткування із ставкою, яка не передбачає сплату ПДВ можуть подати заяву про анулювання реєстрації платника ПДВ одночасно із заявою про застосування спрощеної системи оподаткування.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із п. 5.4 розділу V Положення № 1130 якщо на підставі заяви суб’єкта господарювання, який зареєстрований платником ПДВ, контролюючим органом прийнято рішення про те, що особа з певного звітного періоду переходить на спрощену систему оподаткування, обліку та звітності із застосуванням ставки єдиного податку, що не передбачає сплату ПДВ, то після внесення відповідного запису до реєстру платників єдиного податку проводиться виключення контролюючим органом такого суб’єкта з Реєстру на підставі поданої ним заяви про анулювання реєстрації згідно з п.п. «в» п. 184.1 ст. 184 ПКУ останнім днем звітного періоду, що передує переходу платника податків на обрані ним умови сплати єдиного податку при застосуванні спрощеної системи оподаткування, обліку та звітності. Контролюючий орган виключає суб’єкта господарювання з Реєстру без подачі таким суб’єктом заяви про анулювання реєстрації у разі, якщо у заяві про застосування спрощеної системи оподаткування таким суб’єктом зроблено відповідну позначку.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46"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47"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Приватний нотаріус не може включити до складу витрат суму страхових внесків, сплачених на користь працівників за договорами недержавного пенсійного забезпечення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Звертаємо увагу, що оподаткування доходів, отриманих фізичною особою, яка провадить незалежну професійну діяльність, регламентується ст. 178 Податкового кодексу України від (далі –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Оподатковуваним доходом таких осіб вважається сукупний чистий дохід, тобто різниця між доходом і документально підтвердженими витратами, необхідними для провадження певного виду незалежної професійної діяльності. У разі неотримання довідки про взяття на облік особою, яка провадить незалежну професійну діяльність, об’єктом оподаткування є доходи, отримані від такої діяльності без урахування витрат (п. 178.3 ст. 178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ПКУ не передбачено будь-якого переліку витрат для фізичних осіб, які здійснюють незалежну діяльність.</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Однак, при визначенні сукупного чистого доходу приватного нотаріуса враховуються витрати наведені в Узагальнюючій податковій консультації щодо деяких питань оподаткування фізичних осіб, які провадять незалежну професійну діяльність (приватних нотаріусів, адвокатів), затвердженій наказом ДПС України від 24.12.2012 № 1185 (далі – Наказ № 1185), та в Узагальнюючій податковій консультації щодо витрат приватного нотаріуса, затвердженій наказом Міністерства доходів України від 30.12.2013 № 884 (далі – Наказ № 884).</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Наказом № 1185 визначено, що до витрат приватного нотаріуса можуть бути віднесені, зокрема, сплата внесків до Пенсійного фонду України, у тому числі на користь найманих працівників, та фондів загальнообов’язкового державного соціального страхування. Страхові внески, сплачені приватним нотаріусом на користь найманих працівників за договорами недержавного пенсійного забезпечення у вказаному переліку витрат відсутні.</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Отже, приватний нотаріус не має права включити до складу витрат сплату за свій рахунок страхових внесків на користь найманих працівників за договорами недержавного пенсійного забезпечення.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Слід зазначити, що суми страхових внесків за договорами недержавного пенсійного забезпечення, сплачені роботодавцем, оподатковуються відповідно до п.п. «в» п.п. 164.2.16 п. 164.2 ст. 164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48"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49"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ФОП та особи, які провадять незалежну професійну діяльність, одночасно є найманими працівниками: що зі сплатою єдиного внеску?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платниками єдиного внеску на загальнообов’язкове державне соціальне страхування (далі – єдиний внесок) є фізичні особи – підприємці, в тому числі ті, які обрали спрощену систему оподаткування, та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встановлені пунктами 4 та 5 частини 1 ст. 4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Законом України від 13 травня 2020 року № 592-IX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 який набирає чинності </w:t>
      </w:r>
      <w:r w:rsidRPr="00017292">
        <w:rPr>
          <w:rFonts w:ascii="Times New Roman" w:hAnsi="Times New Roman"/>
          <w:b/>
          <w:bCs/>
          <w:sz w:val="20"/>
          <w:szCs w:val="20"/>
          <w:lang w:eastAsia="ru-RU"/>
        </w:rPr>
        <w:t>з 01.01.2021</w:t>
      </w:r>
      <w:r w:rsidRPr="00017292">
        <w:rPr>
          <w:rFonts w:ascii="Times New Roman" w:hAnsi="Times New Roman"/>
          <w:sz w:val="20"/>
          <w:szCs w:val="20"/>
          <w:lang w:eastAsia="ru-RU"/>
        </w:rPr>
        <w:t>, вносяться зміни до Закону № 2464, зокрема, ст. 4 Закону № 2464 буде доповнено частиною 6.</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згідно з частиною 6 ст. 4 Закону № 2464 особи, зазначені у підпунктах 4 і 5 частини 1 ст. 4 Закону № 2464, які мають основне місце роботи, звільняються від сплати за себе єдиного внеску за місяці звітного періоду, за які роботодавцем було сплачено страховий внесок за таких осіб у розмірі не менше мінімального страхового внеску.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Такі особи можуть бути платниками єдиного внеску за умови самостійного визначення за місяці звітного періоду, за які роботодавцем було сплачено страховий внесок за таких осіб у розмірі менше мінімального страхового внеску, бази нарахування, але не більше максимальної величини бази нарахування єдиного внеску, встановленої Законом № 2464. При цьому сума єдиного внеску не може бути меншою за розмір мінімального страхового внеску.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50"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51"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Default="00962E7A" w:rsidP="003F1829">
      <w:pPr>
        <w:shd w:val="clear" w:color="auto" w:fill="FFFFFF"/>
        <w:spacing w:after="0" w:line="240" w:lineRule="auto"/>
        <w:outlineLvl w:val="0"/>
        <w:rPr>
          <w:rFonts w:ascii="Times New Roman" w:hAnsi="Times New Roman"/>
          <w:sz w:val="20"/>
          <w:szCs w:val="20"/>
          <w:lang w:eastAsia="ru-RU"/>
        </w:rPr>
      </w:pPr>
    </w:p>
    <w:p w:rsidR="00962E7A" w:rsidRPr="00017292" w:rsidRDefault="00962E7A"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ПКУ передбачено повернення надмірно сплаченого туристичного збору особі, яка дострокового залишає територію, де встановлено туристичний збір</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Повідомляємо, що платники туристичного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встановлені п.п. 268.6.1 п. 268.6 ст. 268 Податкового кодексу України (далі –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При цьому базою справляння туристичного збору є загальна кількість діб тимчасового розміщення у місцях проживання (ночівлі), визначених п.п. 268.5.1  п. 268.5 ст. 268 ПКУ (п. 268.4 ст. 264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 п.п. 268.6.2 п. 268.6 ст. 268 ПКУ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ПКУ та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ПКУ порядку (п.п. 268.6.3 п. 268.6 ст. 268 ПКУ).</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52" w:tgtFrame="_blank" w:history="1">
        <w:r w:rsidRPr="00017292">
          <w:rPr>
            <w:rFonts w:ascii="Times New Roman" w:hAnsi="Times New Roman"/>
            <w:sz w:val="20"/>
            <w:szCs w:val="20"/>
            <w:u w:val="single"/>
            <w:lang w:eastAsia="ru-RU"/>
          </w:rPr>
          <w:t>https://t.me/tax_gov_ua</w:t>
        </w:r>
      </w:hyperlink>
    </w:p>
    <w:p w:rsidR="00962E7A" w:rsidRPr="00017292" w:rsidRDefault="00962E7A"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53"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962E7A" w:rsidRPr="00017292" w:rsidRDefault="00962E7A" w:rsidP="003F1829">
      <w:pPr>
        <w:shd w:val="clear" w:color="auto" w:fill="FFFFFF"/>
        <w:spacing w:after="0" w:line="240" w:lineRule="auto"/>
        <w:jc w:val="both"/>
        <w:rPr>
          <w:rFonts w:ascii="Times New Roman" w:hAnsi="Times New Roman"/>
          <w:sz w:val="20"/>
          <w:szCs w:val="20"/>
          <w:lang w:eastAsia="ru-RU"/>
        </w:rPr>
      </w:pPr>
    </w:p>
    <w:p w:rsidR="00962E7A" w:rsidRPr="00017292" w:rsidRDefault="00962E7A"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962E7A" w:rsidRPr="00017292" w:rsidRDefault="00962E7A" w:rsidP="00017292">
      <w:pPr>
        <w:pStyle w:val="NormalWeb"/>
        <w:shd w:val="clear" w:color="auto" w:fill="FFFFFF"/>
        <w:spacing w:before="0" w:beforeAutospacing="0" w:after="0" w:afterAutospacing="0"/>
        <w:rPr>
          <w:sz w:val="20"/>
          <w:szCs w:val="20"/>
        </w:rPr>
      </w:pPr>
      <w:r w:rsidRPr="00017292">
        <w:rPr>
          <w:sz w:val="20"/>
          <w:szCs w:val="20"/>
        </w:rPr>
        <w:t> </w:t>
      </w:r>
    </w:p>
    <w:p w:rsidR="00962E7A" w:rsidRPr="00017292" w:rsidRDefault="00962E7A" w:rsidP="003F1829">
      <w:pPr>
        <w:spacing w:after="0"/>
        <w:rPr>
          <w:rFonts w:ascii="Times New Roman" w:hAnsi="Times New Roman"/>
          <w:sz w:val="20"/>
          <w:szCs w:val="20"/>
        </w:rPr>
      </w:pPr>
    </w:p>
    <w:sectPr w:rsidR="00962E7A" w:rsidRPr="00017292" w:rsidSect="003F1829">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05391"/>
    <w:multiLevelType w:val="multilevel"/>
    <w:tmpl w:val="5066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6B0"/>
    <w:rsid w:val="00017292"/>
    <w:rsid w:val="000869E9"/>
    <w:rsid w:val="001A66B0"/>
    <w:rsid w:val="001B7878"/>
    <w:rsid w:val="002B7408"/>
    <w:rsid w:val="00320586"/>
    <w:rsid w:val="003C65D3"/>
    <w:rsid w:val="003F1829"/>
    <w:rsid w:val="004F7FA2"/>
    <w:rsid w:val="006E3DB0"/>
    <w:rsid w:val="008478D3"/>
    <w:rsid w:val="00962E7A"/>
    <w:rsid w:val="00B25C7C"/>
    <w:rsid w:val="00B46D74"/>
    <w:rsid w:val="00BD5E4D"/>
    <w:rsid w:val="00CC6508"/>
    <w:rsid w:val="00D62EE0"/>
    <w:rsid w:val="00DF02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D3"/>
    <w:pPr>
      <w:spacing w:after="160" w:line="259" w:lineRule="auto"/>
    </w:pPr>
    <w:rPr>
      <w:lang w:val="uk-UA" w:eastAsia="en-US"/>
    </w:rPr>
  </w:style>
  <w:style w:type="paragraph" w:styleId="Heading1">
    <w:name w:val="heading 1"/>
    <w:basedOn w:val="Normal"/>
    <w:link w:val="Heading1Char"/>
    <w:uiPriority w:val="99"/>
    <w:qFormat/>
    <w:rsid w:val="001A66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B0"/>
    <w:rPr>
      <w:rFonts w:ascii="Times New Roman" w:hAnsi="Times New Roman" w:cs="Times New Roman"/>
      <w:b/>
      <w:bCs/>
      <w:kern w:val="36"/>
      <w:sz w:val="48"/>
      <w:szCs w:val="48"/>
      <w:lang w:eastAsia="ru-RU"/>
    </w:rPr>
  </w:style>
  <w:style w:type="character" w:styleId="Hyperlink">
    <w:name w:val="Hyperlink"/>
    <w:basedOn w:val="DefaultParagraphFont"/>
    <w:uiPriority w:val="99"/>
    <w:rsid w:val="001A66B0"/>
    <w:rPr>
      <w:rFonts w:cs="Times New Roman"/>
      <w:color w:val="0000FF"/>
      <w:u w:val="single"/>
    </w:rPr>
  </w:style>
  <w:style w:type="paragraph" w:styleId="NormalWeb">
    <w:name w:val="Normal (Web)"/>
    <w:basedOn w:val="Normal"/>
    <w:uiPriority w:val="99"/>
    <w:semiHidden/>
    <w:rsid w:val="001A66B0"/>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1A66B0"/>
    <w:rPr>
      <w:rFonts w:cs="Times New Roman"/>
      <w:i/>
      <w:iCs/>
    </w:rPr>
  </w:style>
  <w:style w:type="character" w:styleId="Strong">
    <w:name w:val="Strong"/>
    <w:basedOn w:val="DefaultParagraphFont"/>
    <w:uiPriority w:val="99"/>
    <w:qFormat/>
    <w:rsid w:val="001A66B0"/>
    <w:rPr>
      <w:rFonts w:cs="Times New Roman"/>
      <w:b/>
      <w:bCs/>
    </w:rPr>
  </w:style>
  <w:style w:type="paragraph" w:customStyle="1" w:styleId="rvps2">
    <w:name w:val="rvps2"/>
    <w:basedOn w:val="Normal"/>
    <w:uiPriority w:val="99"/>
    <w:rsid w:val="00BD5E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a"/>
    <w:basedOn w:val="Normal"/>
    <w:uiPriority w:val="99"/>
    <w:rsid w:val="00BD5E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DefaultParagraphFont"/>
    <w:uiPriority w:val="99"/>
    <w:semiHidden/>
    <w:rsid w:val="006E3DB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7223926">
      <w:marLeft w:val="0"/>
      <w:marRight w:val="0"/>
      <w:marTop w:val="0"/>
      <w:marBottom w:val="0"/>
      <w:divBdr>
        <w:top w:val="none" w:sz="0" w:space="0" w:color="auto"/>
        <w:left w:val="none" w:sz="0" w:space="0" w:color="auto"/>
        <w:bottom w:val="none" w:sz="0" w:space="0" w:color="auto"/>
        <w:right w:val="none" w:sz="0" w:space="0" w:color="auto"/>
      </w:divBdr>
      <w:divsChild>
        <w:div w:id="277223937">
          <w:marLeft w:val="0"/>
          <w:marRight w:val="0"/>
          <w:marTop w:val="0"/>
          <w:marBottom w:val="75"/>
          <w:divBdr>
            <w:top w:val="none" w:sz="0" w:space="0" w:color="auto"/>
            <w:left w:val="none" w:sz="0" w:space="0" w:color="auto"/>
            <w:bottom w:val="none" w:sz="0" w:space="0" w:color="auto"/>
            <w:right w:val="none" w:sz="0" w:space="0" w:color="auto"/>
          </w:divBdr>
          <w:divsChild>
            <w:div w:id="2772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29">
      <w:marLeft w:val="0"/>
      <w:marRight w:val="0"/>
      <w:marTop w:val="0"/>
      <w:marBottom w:val="0"/>
      <w:divBdr>
        <w:top w:val="none" w:sz="0" w:space="0" w:color="auto"/>
        <w:left w:val="none" w:sz="0" w:space="0" w:color="auto"/>
        <w:bottom w:val="none" w:sz="0" w:space="0" w:color="auto"/>
        <w:right w:val="none" w:sz="0" w:space="0" w:color="auto"/>
      </w:divBdr>
      <w:divsChild>
        <w:div w:id="277223924">
          <w:marLeft w:val="0"/>
          <w:marRight w:val="0"/>
          <w:marTop w:val="0"/>
          <w:marBottom w:val="75"/>
          <w:divBdr>
            <w:top w:val="none" w:sz="0" w:space="0" w:color="auto"/>
            <w:left w:val="none" w:sz="0" w:space="0" w:color="auto"/>
            <w:bottom w:val="none" w:sz="0" w:space="0" w:color="auto"/>
            <w:right w:val="none" w:sz="0" w:space="0" w:color="auto"/>
          </w:divBdr>
          <w:divsChild>
            <w:div w:id="2772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31">
      <w:marLeft w:val="0"/>
      <w:marRight w:val="0"/>
      <w:marTop w:val="0"/>
      <w:marBottom w:val="0"/>
      <w:divBdr>
        <w:top w:val="none" w:sz="0" w:space="0" w:color="auto"/>
        <w:left w:val="none" w:sz="0" w:space="0" w:color="auto"/>
        <w:bottom w:val="none" w:sz="0" w:space="0" w:color="auto"/>
        <w:right w:val="none" w:sz="0" w:space="0" w:color="auto"/>
      </w:divBdr>
      <w:divsChild>
        <w:div w:id="277223943">
          <w:marLeft w:val="0"/>
          <w:marRight w:val="0"/>
          <w:marTop w:val="0"/>
          <w:marBottom w:val="75"/>
          <w:divBdr>
            <w:top w:val="none" w:sz="0" w:space="0" w:color="auto"/>
            <w:left w:val="none" w:sz="0" w:space="0" w:color="auto"/>
            <w:bottom w:val="none" w:sz="0" w:space="0" w:color="auto"/>
            <w:right w:val="none" w:sz="0" w:space="0" w:color="auto"/>
          </w:divBdr>
          <w:divsChild>
            <w:div w:id="277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33">
      <w:marLeft w:val="0"/>
      <w:marRight w:val="0"/>
      <w:marTop w:val="0"/>
      <w:marBottom w:val="0"/>
      <w:divBdr>
        <w:top w:val="none" w:sz="0" w:space="0" w:color="auto"/>
        <w:left w:val="none" w:sz="0" w:space="0" w:color="auto"/>
        <w:bottom w:val="none" w:sz="0" w:space="0" w:color="auto"/>
        <w:right w:val="none" w:sz="0" w:space="0" w:color="auto"/>
      </w:divBdr>
      <w:divsChild>
        <w:div w:id="277224019">
          <w:marLeft w:val="0"/>
          <w:marRight w:val="0"/>
          <w:marTop w:val="0"/>
          <w:marBottom w:val="75"/>
          <w:divBdr>
            <w:top w:val="none" w:sz="0" w:space="0" w:color="auto"/>
            <w:left w:val="none" w:sz="0" w:space="0" w:color="auto"/>
            <w:bottom w:val="none" w:sz="0" w:space="0" w:color="auto"/>
            <w:right w:val="none" w:sz="0" w:space="0" w:color="auto"/>
          </w:divBdr>
          <w:divsChild>
            <w:div w:id="2772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34">
      <w:marLeft w:val="0"/>
      <w:marRight w:val="0"/>
      <w:marTop w:val="0"/>
      <w:marBottom w:val="0"/>
      <w:divBdr>
        <w:top w:val="none" w:sz="0" w:space="0" w:color="auto"/>
        <w:left w:val="none" w:sz="0" w:space="0" w:color="auto"/>
        <w:bottom w:val="none" w:sz="0" w:space="0" w:color="auto"/>
        <w:right w:val="none" w:sz="0" w:space="0" w:color="auto"/>
      </w:divBdr>
      <w:divsChild>
        <w:div w:id="277223957">
          <w:marLeft w:val="0"/>
          <w:marRight w:val="0"/>
          <w:marTop w:val="0"/>
          <w:marBottom w:val="75"/>
          <w:divBdr>
            <w:top w:val="none" w:sz="0" w:space="0" w:color="auto"/>
            <w:left w:val="none" w:sz="0" w:space="0" w:color="auto"/>
            <w:bottom w:val="none" w:sz="0" w:space="0" w:color="auto"/>
            <w:right w:val="none" w:sz="0" w:space="0" w:color="auto"/>
          </w:divBdr>
          <w:divsChild>
            <w:div w:id="2772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38">
      <w:marLeft w:val="0"/>
      <w:marRight w:val="0"/>
      <w:marTop w:val="0"/>
      <w:marBottom w:val="0"/>
      <w:divBdr>
        <w:top w:val="none" w:sz="0" w:space="0" w:color="auto"/>
        <w:left w:val="none" w:sz="0" w:space="0" w:color="auto"/>
        <w:bottom w:val="none" w:sz="0" w:space="0" w:color="auto"/>
        <w:right w:val="none" w:sz="0" w:space="0" w:color="auto"/>
      </w:divBdr>
      <w:divsChild>
        <w:div w:id="277223971">
          <w:marLeft w:val="0"/>
          <w:marRight w:val="0"/>
          <w:marTop w:val="0"/>
          <w:marBottom w:val="75"/>
          <w:divBdr>
            <w:top w:val="none" w:sz="0" w:space="0" w:color="auto"/>
            <w:left w:val="none" w:sz="0" w:space="0" w:color="auto"/>
            <w:bottom w:val="none" w:sz="0" w:space="0" w:color="auto"/>
            <w:right w:val="none" w:sz="0" w:space="0" w:color="auto"/>
          </w:divBdr>
          <w:divsChild>
            <w:div w:id="2772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40">
      <w:marLeft w:val="0"/>
      <w:marRight w:val="0"/>
      <w:marTop w:val="0"/>
      <w:marBottom w:val="0"/>
      <w:divBdr>
        <w:top w:val="none" w:sz="0" w:space="0" w:color="auto"/>
        <w:left w:val="none" w:sz="0" w:space="0" w:color="auto"/>
        <w:bottom w:val="none" w:sz="0" w:space="0" w:color="auto"/>
        <w:right w:val="none" w:sz="0" w:space="0" w:color="auto"/>
      </w:divBdr>
      <w:divsChild>
        <w:div w:id="277223979">
          <w:marLeft w:val="0"/>
          <w:marRight w:val="0"/>
          <w:marTop w:val="0"/>
          <w:marBottom w:val="75"/>
          <w:divBdr>
            <w:top w:val="none" w:sz="0" w:space="0" w:color="auto"/>
            <w:left w:val="none" w:sz="0" w:space="0" w:color="auto"/>
            <w:bottom w:val="none" w:sz="0" w:space="0" w:color="auto"/>
            <w:right w:val="none" w:sz="0" w:space="0" w:color="auto"/>
          </w:divBdr>
          <w:divsChild>
            <w:div w:id="2772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41">
      <w:marLeft w:val="0"/>
      <w:marRight w:val="0"/>
      <w:marTop w:val="0"/>
      <w:marBottom w:val="0"/>
      <w:divBdr>
        <w:top w:val="none" w:sz="0" w:space="0" w:color="auto"/>
        <w:left w:val="none" w:sz="0" w:space="0" w:color="auto"/>
        <w:bottom w:val="none" w:sz="0" w:space="0" w:color="auto"/>
        <w:right w:val="none" w:sz="0" w:space="0" w:color="auto"/>
      </w:divBdr>
      <w:divsChild>
        <w:div w:id="277223919">
          <w:marLeft w:val="0"/>
          <w:marRight w:val="0"/>
          <w:marTop w:val="0"/>
          <w:marBottom w:val="75"/>
          <w:divBdr>
            <w:top w:val="none" w:sz="0" w:space="0" w:color="auto"/>
            <w:left w:val="none" w:sz="0" w:space="0" w:color="auto"/>
            <w:bottom w:val="none" w:sz="0" w:space="0" w:color="auto"/>
            <w:right w:val="none" w:sz="0" w:space="0" w:color="auto"/>
          </w:divBdr>
          <w:divsChild>
            <w:div w:id="2772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42">
      <w:marLeft w:val="0"/>
      <w:marRight w:val="0"/>
      <w:marTop w:val="0"/>
      <w:marBottom w:val="0"/>
      <w:divBdr>
        <w:top w:val="none" w:sz="0" w:space="0" w:color="auto"/>
        <w:left w:val="none" w:sz="0" w:space="0" w:color="auto"/>
        <w:bottom w:val="none" w:sz="0" w:space="0" w:color="auto"/>
        <w:right w:val="none" w:sz="0" w:space="0" w:color="auto"/>
      </w:divBdr>
      <w:divsChild>
        <w:div w:id="277224009">
          <w:marLeft w:val="0"/>
          <w:marRight w:val="0"/>
          <w:marTop w:val="0"/>
          <w:marBottom w:val="75"/>
          <w:divBdr>
            <w:top w:val="none" w:sz="0" w:space="0" w:color="auto"/>
            <w:left w:val="none" w:sz="0" w:space="0" w:color="auto"/>
            <w:bottom w:val="none" w:sz="0" w:space="0" w:color="auto"/>
            <w:right w:val="none" w:sz="0" w:space="0" w:color="auto"/>
          </w:divBdr>
          <w:divsChild>
            <w:div w:id="2772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49">
      <w:marLeft w:val="0"/>
      <w:marRight w:val="0"/>
      <w:marTop w:val="0"/>
      <w:marBottom w:val="0"/>
      <w:divBdr>
        <w:top w:val="none" w:sz="0" w:space="0" w:color="auto"/>
        <w:left w:val="none" w:sz="0" w:space="0" w:color="auto"/>
        <w:bottom w:val="none" w:sz="0" w:space="0" w:color="auto"/>
        <w:right w:val="none" w:sz="0" w:space="0" w:color="auto"/>
      </w:divBdr>
      <w:divsChild>
        <w:div w:id="277224016">
          <w:marLeft w:val="0"/>
          <w:marRight w:val="0"/>
          <w:marTop w:val="0"/>
          <w:marBottom w:val="75"/>
          <w:divBdr>
            <w:top w:val="none" w:sz="0" w:space="0" w:color="auto"/>
            <w:left w:val="none" w:sz="0" w:space="0" w:color="auto"/>
            <w:bottom w:val="none" w:sz="0" w:space="0" w:color="auto"/>
            <w:right w:val="none" w:sz="0" w:space="0" w:color="auto"/>
          </w:divBdr>
          <w:divsChild>
            <w:div w:id="2772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53">
      <w:marLeft w:val="0"/>
      <w:marRight w:val="0"/>
      <w:marTop w:val="0"/>
      <w:marBottom w:val="0"/>
      <w:divBdr>
        <w:top w:val="none" w:sz="0" w:space="0" w:color="auto"/>
        <w:left w:val="none" w:sz="0" w:space="0" w:color="auto"/>
        <w:bottom w:val="none" w:sz="0" w:space="0" w:color="auto"/>
        <w:right w:val="none" w:sz="0" w:space="0" w:color="auto"/>
      </w:divBdr>
      <w:divsChild>
        <w:div w:id="277223927">
          <w:marLeft w:val="0"/>
          <w:marRight w:val="0"/>
          <w:marTop w:val="0"/>
          <w:marBottom w:val="75"/>
          <w:divBdr>
            <w:top w:val="none" w:sz="0" w:space="0" w:color="auto"/>
            <w:left w:val="none" w:sz="0" w:space="0" w:color="auto"/>
            <w:bottom w:val="none" w:sz="0" w:space="0" w:color="auto"/>
            <w:right w:val="none" w:sz="0" w:space="0" w:color="auto"/>
          </w:divBdr>
          <w:divsChild>
            <w:div w:id="2772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59">
      <w:marLeft w:val="0"/>
      <w:marRight w:val="0"/>
      <w:marTop w:val="0"/>
      <w:marBottom w:val="0"/>
      <w:divBdr>
        <w:top w:val="none" w:sz="0" w:space="0" w:color="auto"/>
        <w:left w:val="none" w:sz="0" w:space="0" w:color="auto"/>
        <w:bottom w:val="none" w:sz="0" w:space="0" w:color="auto"/>
        <w:right w:val="none" w:sz="0" w:space="0" w:color="auto"/>
      </w:divBdr>
      <w:divsChild>
        <w:div w:id="277224003">
          <w:marLeft w:val="0"/>
          <w:marRight w:val="0"/>
          <w:marTop w:val="0"/>
          <w:marBottom w:val="75"/>
          <w:divBdr>
            <w:top w:val="none" w:sz="0" w:space="0" w:color="auto"/>
            <w:left w:val="none" w:sz="0" w:space="0" w:color="auto"/>
            <w:bottom w:val="none" w:sz="0" w:space="0" w:color="auto"/>
            <w:right w:val="none" w:sz="0" w:space="0" w:color="auto"/>
          </w:divBdr>
          <w:divsChild>
            <w:div w:id="2772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62">
      <w:marLeft w:val="0"/>
      <w:marRight w:val="0"/>
      <w:marTop w:val="0"/>
      <w:marBottom w:val="0"/>
      <w:divBdr>
        <w:top w:val="none" w:sz="0" w:space="0" w:color="auto"/>
        <w:left w:val="none" w:sz="0" w:space="0" w:color="auto"/>
        <w:bottom w:val="none" w:sz="0" w:space="0" w:color="auto"/>
        <w:right w:val="none" w:sz="0" w:space="0" w:color="auto"/>
      </w:divBdr>
      <w:divsChild>
        <w:div w:id="277223961">
          <w:marLeft w:val="0"/>
          <w:marRight w:val="0"/>
          <w:marTop w:val="0"/>
          <w:marBottom w:val="75"/>
          <w:divBdr>
            <w:top w:val="none" w:sz="0" w:space="0" w:color="auto"/>
            <w:left w:val="none" w:sz="0" w:space="0" w:color="auto"/>
            <w:bottom w:val="none" w:sz="0" w:space="0" w:color="auto"/>
            <w:right w:val="none" w:sz="0" w:space="0" w:color="auto"/>
          </w:divBdr>
          <w:divsChild>
            <w:div w:id="277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63">
      <w:marLeft w:val="0"/>
      <w:marRight w:val="0"/>
      <w:marTop w:val="0"/>
      <w:marBottom w:val="0"/>
      <w:divBdr>
        <w:top w:val="none" w:sz="0" w:space="0" w:color="auto"/>
        <w:left w:val="none" w:sz="0" w:space="0" w:color="auto"/>
        <w:bottom w:val="none" w:sz="0" w:space="0" w:color="auto"/>
        <w:right w:val="none" w:sz="0" w:space="0" w:color="auto"/>
      </w:divBdr>
      <w:divsChild>
        <w:div w:id="277223993">
          <w:marLeft w:val="0"/>
          <w:marRight w:val="0"/>
          <w:marTop w:val="0"/>
          <w:marBottom w:val="75"/>
          <w:divBdr>
            <w:top w:val="none" w:sz="0" w:space="0" w:color="auto"/>
            <w:left w:val="none" w:sz="0" w:space="0" w:color="auto"/>
            <w:bottom w:val="none" w:sz="0" w:space="0" w:color="auto"/>
            <w:right w:val="none" w:sz="0" w:space="0" w:color="auto"/>
          </w:divBdr>
          <w:divsChild>
            <w:div w:id="2772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67">
      <w:marLeft w:val="0"/>
      <w:marRight w:val="0"/>
      <w:marTop w:val="0"/>
      <w:marBottom w:val="0"/>
      <w:divBdr>
        <w:top w:val="none" w:sz="0" w:space="0" w:color="auto"/>
        <w:left w:val="none" w:sz="0" w:space="0" w:color="auto"/>
        <w:bottom w:val="none" w:sz="0" w:space="0" w:color="auto"/>
        <w:right w:val="none" w:sz="0" w:space="0" w:color="auto"/>
      </w:divBdr>
      <w:divsChild>
        <w:div w:id="277223950">
          <w:marLeft w:val="0"/>
          <w:marRight w:val="0"/>
          <w:marTop w:val="0"/>
          <w:marBottom w:val="75"/>
          <w:divBdr>
            <w:top w:val="none" w:sz="0" w:space="0" w:color="auto"/>
            <w:left w:val="none" w:sz="0" w:space="0" w:color="auto"/>
            <w:bottom w:val="none" w:sz="0" w:space="0" w:color="auto"/>
            <w:right w:val="none" w:sz="0" w:space="0" w:color="auto"/>
          </w:divBdr>
          <w:divsChild>
            <w:div w:id="2772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69">
      <w:marLeft w:val="0"/>
      <w:marRight w:val="0"/>
      <w:marTop w:val="0"/>
      <w:marBottom w:val="0"/>
      <w:divBdr>
        <w:top w:val="none" w:sz="0" w:space="0" w:color="auto"/>
        <w:left w:val="none" w:sz="0" w:space="0" w:color="auto"/>
        <w:bottom w:val="none" w:sz="0" w:space="0" w:color="auto"/>
        <w:right w:val="none" w:sz="0" w:space="0" w:color="auto"/>
      </w:divBdr>
      <w:divsChild>
        <w:div w:id="277223977">
          <w:marLeft w:val="0"/>
          <w:marRight w:val="0"/>
          <w:marTop w:val="0"/>
          <w:marBottom w:val="75"/>
          <w:divBdr>
            <w:top w:val="none" w:sz="0" w:space="0" w:color="auto"/>
            <w:left w:val="none" w:sz="0" w:space="0" w:color="auto"/>
            <w:bottom w:val="none" w:sz="0" w:space="0" w:color="auto"/>
            <w:right w:val="none" w:sz="0" w:space="0" w:color="auto"/>
          </w:divBdr>
          <w:divsChild>
            <w:div w:id="277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76">
      <w:marLeft w:val="0"/>
      <w:marRight w:val="0"/>
      <w:marTop w:val="0"/>
      <w:marBottom w:val="0"/>
      <w:divBdr>
        <w:top w:val="none" w:sz="0" w:space="0" w:color="auto"/>
        <w:left w:val="none" w:sz="0" w:space="0" w:color="auto"/>
        <w:bottom w:val="none" w:sz="0" w:space="0" w:color="auto"/>
        <w:right w:val="none" w:sz="0" w:space="0" w:color="auto"/>
      </w:divBdr>
      <w:divsChild>
        <w:div w:id="277223921">
          <w:marLeft w:val="0"/>
          <w:marRight w:val="0"/>
          <w:marTop w:val="0"/>
          <w:marBottom w:val="75"/>
          <w:divBdr>
            <w:top w:val="none" w:sz="0" w:space="0" w:color="auto"/>
            <w:left w:val="none" w:sz="0" w:space="0" w:color="auto"/>
            <w:bottom w:val="none" w:sz="0" w:space="0" w:color="auto"/>
            <w:right w:val="none" w:sz="0" w:space="0" w:color="auto"/>
          </w:divBdr>
          <w:divsChild>
            <w:div w:id="2772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78">
      <w:marLeft w:val="0"/>
      <w:marRight w:val="0"/>
      <w:marTop w:val="0"/>
      <w:marBottom w:val="0"/>
      <w:divBdr>
        <w:top w:val="none" w:sz="0" w:space="0" w:color="auto"/>
        <w:left w:val="none" w:sz="0" w:space="0" w:color="auto"/>
        <w:bottom w:val="none" w:sz="0" w:space="0" w:color="auto"/>
        <w:right w:val="none" w:sz="0" w:space="0" w:color="auto"/>
      </w:divBdr>
      <w:divsChild>
        <w:div w:id="277223995">
          <w:marLeft w:val="0"/>
          <w:marRight w:val="0"/>
          <w:marTop w:val="0"/>
          <w:marBottom w:val="75"/>
          <w:divBdr>
            <w:top w:val="none" w:sz="0" w:space="0" w:color="auto"/>
            <w:left w:val="none" w:sz="0" w:space="0" w:color="auto"/>
            <w:bottom w:val="none" w:sz="0" w:space="0" w:color="auto"/>
            <w:right w:val="none" w:sz="0" w:space="0" w:color="auto"/>
          </w:divBdr>
          <w:divsChild>
            <w:div w:id="277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83">
      <w:marLeft w:val="0"/>
      <w:marRight w:val="0"/>
      <w:marTop w:val="0"/>
      <w:marBottom w:val="0"/>
      <w:divBdr>
        <w:top w:val="none" w:sz="0" w:space="0" w:color="auto"/>
        <w:left w:val="none" w:sz="0" w:space="0" w:color="auto"/>
        <w:bottom w:val="none" w:sz="0" w:space="0" w:color="auto"/>
        <w:right w:val="none" w:sz="0" w:space="0" w:color="auto"/>
      </w:divBdr>
      <w:divsChild>
        <w:div w:id="277223987">
          <w:marLeft w:val="0"/>
          <w:marRight w:val="0"/>
          <w:marTop w:val="0"/>
          <w:marBottom w:val="75"/>
          <w:divBdr>
            <w:top w:val="none" w:sz="0" w:space="0" w:color="auto"/>
            <w:left w:val="none" w:sz="0" w:space="0" w:color="auto"/>
            <w:bottom w:val="none" w:sz="0" w:space="0" w:color="auto"/>
            <w:right w:val="none" w:sz="0" w:space="0" w:color="auto"/>
          </w:divBdr>
          <w:divsChild>
            <w:div w:id="2772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84">
      <w:marLeft w:val="0"/>
      <w:marRight w:val="0"/>
      <w:marTop w:val="0"/>
      <w:marBottom w:val="0"/>
      <w:divBdr>
        <w:top w:val="none" w:sz="0" w:space="0" w:color="auto"/>
        <w:left w:val="none" w:sz="0" w:space="0" w:color="auto"/>
        <w:bottom w:val="none" w:sz="0" w:space="0" w:color="auto"/>
        <w:right w:val="none" w:sz="0" w:space="0" w:color="auto"/>
      </w:divBdr>
      <w:divsChild>
        <w:div w:id="277223946">
          <w:marLeft w:val="0"/>
          <w:marRight w:val="0"/>
          <w:marTop w:val="0"/>
          <w:marBottom w:val="75"/>
          <w:divBdr>
            <w:top w:val="none" w:sz="0" w:space="0" w:color="auto"/>
            <w:left w:val="none" w:sz="0" w:space="0" w:color="auto"/>
            <w:bottom w:val="none" w:sz="0" w:space="0" w:color="auto"/>
            <w:right w:val="none" w:sz="0" w:space="0" w:color="auto"/>
          </w:divBdr>
          <w:divsChild>
            <w:div w:id="2772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86">
      <w:marLeft w:val="0"/>
      <w:marRight w:val="0"/>
      <w:marTop w:val="0"/>
      <w:marBottom w:val="0"/>
      <w:divBdr>
        <w:top w:val="none" w:sz="0" w:space="0" w:color="auto"/>
        <w:left w:val="none" w:sz="0" w:space="0" w:color="auto"/>
        <w:bottom w:val="none" w:sz="0" w:space="0" w:color="auto"/>
        <w:right w:val="none" w:sz="0" w:space="0" w:color="auto"/>
      </w:divBdr>
      <w:divsChild>
        <w:div w:id="277223989">
          <w:marLeft w:val="0"/>
          <w:marRight w:val="0"/>
          <w:marTop w:val="0"/>
          <w:marBottom w:val="75"/>
          <w:divBdr>
            <w:top w:val="none" w:sz="0" w:space="0" w:color="auto"/>
            <w:left w:val="none" w:sz="0" w:space="0" w:color="auto"/>
            <w:bottom w:val="none" w:sz="0" w:space="0" w:color="auto"/>
            <w:right w:val="none" w:sz="0" w:space="0" w:color="auto"/>
          </w:divBdr>
          <w:divsChild>
            <w:div w:id="277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88">
      <w:marLeft w:val="0"/>
      <w:marRight w:val="0"/>
      <w:marTop w:val="0"/>
      <w:marBottom w:val="0"/>
      <w:divBdr>
        <w:top w:val="none" w:sz="0" w:space="0" w:color="auto"/>
        <w:left w:val="none" w:sz="0" w:space="0" w:color="auto"/>
        <w:bottom w:val="none" w:sz="0" w:space="0" w:color="auto"/>
        <w:right w:val="none" w:sz="0" w:space="0" w:color="auto"/>
      </w:divBdr>
      <w:divsChild>
        <w:div w:id="277223981">
          <w:marLeft w:val="0"/>
          <w:marRight w:val="0"/>
          <w:marTop w:val="0"/>
          <w:marBottom w:val="75"/>
          <w:divBdr>
            <w:top w:val="none" w:sz="0" w:space="0" w:color="auto"/>
            <w:left w:val="none" w:sz="0" w:space="0" w:color="auto"/>
            <w:bottom w:val="none" w:sz="0" w:space="0" w:color="auto"/>
            <w:right w:val="none" w:sz="0" w:space="0" w:color="auto"/>
          </w:divBdr>
          <w:divsChild>
            <w:div w:id="277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91">
      <w:marLeft w:val="0"/>
      <w:marRight w:val="0"/>
      <w:marTop w:val="0"/>
      <w:marBottom w:val="0"/>
      <w:divBdr>
        <w:top w:val="none" w:sz="0" w:space="0" w:color="auto"/>
        <w:left w:val="none" w:sz="0" w:space="0" w:color="auto"/>
        <w:bottom w:val="none" w:sz="0" w:space="0" w:color="auto"/>
        <w:right w:val="none" w:sz="0" w:space="0" w:color="auto"/>
      </w:divBdr>
      <w:divsChild>
        <w:div w:id="277223980">
          <w:marLeft w:val="0"/>
          <w:marRight w:val="0"/>
          <w:marTop w:val="0"/>
          <w:marBottom w:val="75"/>
          <w:divBdr>
            <w:top w:val="none" w:sz="0" w:space="0" w:color="auto"/>
            <w:left w:val="none" w:sz="0" w:space="0" w:color="auto"/>
            <w:bottom w:val="none" w:sz="0" w:space="0" w:color="auto"/>
            <w:right w:val="none" w:sz="0" w:space="0" w:color="auto"/>
          </w:divBdr>
          <w:divsChild>
            <w:div w:id="2772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92">
      <w:marLeft w:val="0"/>
      <w:marRight w:val="0"/>
      <w:marTop w:val="0"/>
      <w:marBottom w:val="0"/>
      <w:divBdr>
        <w:top w:val="none" w:sz="0" w:space="0" w:color="auto"/>
        <w:left w:val="none" w:sz="0" w:space="0" w:color="auto"/>
        <w:bottom w:val="none" w:sz="0" w:space="0" w:color="auto"/>
        <w:right w:val="none" w:sz="0" w:space="0" w:color="auto"/>
      </w:divBdr>
      <w:divsChild>
        <w:div w:id="277223974">
          <w:marLeft w:val="0"/>
          <w:marRight w:val="0"/>
          <w:marTop w:val="0"/>
          <w:marBottom w:val="75"/>
          <w:divBdr>
            <w:top w:val="none" w:sz="0" w:space="0" w:color="auto"/>
            <w:left w:val="none" w:sz="0" w:space="0" w:color="auto"/>
            <w:bottom w:val="none" w:sz="0" w:space="0" w:color="auto"/>
            <w:right w:val="none" w:sz="0" w:space="0" w:color="auto"/>
          </w:divBdr>
          <w:divsChild>
            <w:div w:id="2772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94">
      <w:marLeft w:val="0"/>
      <w:marRight w:val="0"/>
      <w:marTop w:val="0"/>
      <w:marBottom w:val="0"/>
      <w:divBdr>
        <w:top w:val="none" w:sz="0" w:space="0" w:color="auto"/>
        <w:left w:val="none" w:sz="0" w:space="0" w:color="auto"/>
        <w:bottom w:val="none" w:sz="0" w:space="0" w:color="auto"/>
        <w:right w:val="none" w:sz="0" w:space="0" w:color="auto"/>
      </w:divBdr>
      <w:divsChild>
        <w:div w:id="277223954">
          <w:marLeft w:val="0"/>
          <w:marRight w:val="0"/>
          <w:marTop w:val="0"/>
          <w:marBottom w:val="75"/>
          <w:divBdr>
            <w:top w:val="none" w:sz="0" w:space="0" w:color="auto"/>
            <w:left w:val="none" w:sz="0" w:space="0" w:color="auto"/>
            <w:bottom w:val="none" w:sz="0" w:space="0" w:color="auto"/>
            <w:right w:val="none" w:sz="0" w:space="0" w:color="auto"/>
          </w:divBdr>
          <w:divsChild>
            <w:div w:id="2772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96">
      <w:marLeft w:val="0"/>
      <w:marRight w:val="0"/>
      <w:marTop w:val="0"/>
      <w:marBottom w:val="0"/>
      <w:divBdr>
        <w:top w:val="none" w:sz="0" w:space="0" w:color="auto"/>
        <w:left w:val="none" w:sz="0" w:space="0" w:color="auto"/>
        <w:bottom w:val="none" w:sz="0" w:space="0" w:color="auto"/>
        <w:right w:val="none" w:sz="0" w:space="0" w:color="auto"/>
      </w:divBdr>
      <w:divsChild>
        <w:div w:id="277223958">
          <w:marLeft w:val="0"/>
          <w:marRight w:val="0"/>
          <w:marTop w:val="0"/>
          <w:marBottom w:val="75"/>
          <w:divBdr>
            <w:top w:val="none" w:sz="0" w:space="0" w:color="auto"/>
            <w:left w:val="none" w:sz="0" w:space="0" w:color="auto"/>
            <w:bottom w:val="none" w:sz="0" w:space="0" w:color="auto"/>
            <w:right w:val="none" w:sz="0" w:space="0" w:color="auto"/>
          </w:divBdr>
          <w:divsChild>
            <w:div w:id="277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97">
      <w:marLeft w:val="0"/>
      <w:marRight w:val="0"/>
      <w:marTop w:val="0"/>
      <w:marBottom w:val="0"/>
      <w:divBdr>
        <w:top w:val="none" w:sz="0" w:space="0" w:color="auto"/>
        <w:left w:val="none" w:sz="0" w:space="0" w:color="auto"/>
        <w:bottom w:val="none" w:sz="0" w:space="0" w:color="auto"/>
        <w:right w:val="none" w:sz="0" w:space="0" w:color="auto"/>
      </w:divBdr>
      <w:divsChild>
        <w:div w:id="277224013">
          <w:marLeft w:val="0"/>
          <w:marRight w:val="0"/>
          <w:marTop w:val="0"/>
          <w:marBottom w:val="75"/>
          <w:divBdr>
            <w:top w:val="none" w:sz="0" w:space="0" w:color="auto"/>
            <w:left w:val="none" w:sz="0" w:space="0" w:color="auto"/>
            <w:bottom w:val="none" w:sz="0" w:space="0" w:color="auto"/>
            <w:right w:val="none" w:sz="0" w:space="0" w:color="auto"/>
          </w:divBdr>
          <w:divsChild>
            <w:div w:id="2772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999">
      <w:marLeft w:val="0"/>
      <w:marRight w:val="0"/>
      <w:marTop w:val="0"/>
      <w:marBottom w:val="0"/>
      <w:divBdr>
        <w:top w:val="none" w:sz="0" w:space="0" w:color="auto"/>
        <w:left w:val="none" w:sz="0" w:space="0" w:color="auto"/>
        <w:bottom w:val="none" w:sz="0" w:space="0" w:color="auto"/>
        <w:right w:val="none" w:sz="0" w:space="0" w:color="auto"/>
      </w:divBdr>
      <w:divsChild>
        <w:div w:id="277224011">
          <w:marLeft w:val="0"/>
          <w:marRight w:val="0"/>
          <w:marTop w:val="0"/>
          <w:marBottom w:val="75"/>
          <w:divBdr>
            <w:top w:val="none" w:sz="0" w:space="0" w:color="auto"/>
            <w:left w:val="none" w:sz="0" w:space="0" w:color="auto"/>
            <w:bottom w:val="none" w:sz="0" w:space="0" w:color="auto"/>
            <w:right w:val="none" w:sz="0" w:space="0" w:color="auto"/>
          </w:divBdr>
          <w:divsChild>
            <w:div w:id="277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4000">
      <w:marLeft w:val="0"/>
      <w:marRight w:val="0"/>
      <w:marTop w:val="0"/>
      <w:marBottom w:val="0"/>
      <w:divBdr>
        <w:top w:val="none" w:sz="0" w:space="0" w:color="auto"/>
        <w:left w:val="none" w:sz="0" w:space="0" w:color="auto"/>
        <w:bottom w:val="none" w:sz="0" w:space="0" w:color="auto"/>
        <w:right w:val="none" w:sz="0" w:space="0" w:color="auto"/>
      </w:divBdr>
      <w:divsChild>
        <w:div w:id="277224012">
          <w:marLeft w:val="0"/>
          <w:marRight w:val="0"/>
          <w:marTop w:val="0"/>
          <w:marBottom w:val="75"/>
          <w:divBdr>
            <w:top w:val="none" w:sz="0" w:space="0" w:color="auto"/>
            <w:left w:val="none" w:sz="0" w:space="0" w:color="auto"/>
            <w:bottom w:val="none" w:sz="0" w:space="0" w:color="auto"/>
            <w:right w:val="none" w:sz="0" w:space="0" w:color="auto"/>
          </w:divBdr>
          <w:divsChild>
            <w:div w:id="277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4004">
      <w:marLeft w:val="0"/>
      <w:marRight w:val="0"/>
      <w:marTop w:val="0"/>
      <w:marBottom w:val="0"/>
      <w:divBdr>
        <w:top w:val="none" w:sz="0" w:space="0" w:color="auto"/>
        <w:left w:val="none" w:sz="0" w:space="0" w:color="auto"/>
        <w:bottom w:val="none" w:sz="0" w:space="0" w:color="auto"/>
        <w:right w:val="none" w:sz="0" w:space="0" w:color="auto"/>
      </w:divBdr>
      <w:divsChild>
        <w:div w:id="277223990">
          <w:marLeft w:val="0"/>
          <w:marRight w:val="0"/>
          <w:marTop w:val="0"/>
          <w:marBottom w:val="75"/>
          <w:divBdr>
            <w:top w:val="none" w:sz="0" w:space="0" w:color="auto"/>
            <w:left w:val="none" w:sz="0" w:space="0" w:color="auto"/>
            <w:bottom w:val="none" w:sz="0" w:space="0" w:color="auto"/>
            <w:right w:val="none" w:sz="0" w:space="0" w:color="auto"/>
          </w:divBdr>
          <w:divsChild>
            <w:div w:id="2772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4005">
      <w:marLeft w:val="0"/>
      <w:marRight w:val="0"/>
      <w:marTop w:val="0"/>
      <w:marBottom w:val="0"/>
      <w:divBdr>
        <w:top w:val="none" w:sz="0" w:space="0" w:color="auto"/>
        <w:left w:val="none" w:sz="0" w:space="0" w:color="auto"/>
        <w:bottom w:val="none" w:sz="0" w:space="0" w:color="auto"/>
        <w:right w:val="none" w:sz="0" w:space="0" w:color="auto"/>
      </w:divBdr>
      <w:divsChild>
        <w:div w:id="277223964">
          <w:marLeft w:val="0"/>
          <w:marRight w:val="0"/>
          <w:marTop w:val="0"/>
          <w:marBottom w:val="75"/>
          <w:divBdr>
            <w:top w:val="none" w:sz="0" w:space="0" w:color="auto"/>
            <w:left w:val="none" w:sz="0" w:space="0" w:color="auto"/>
            <w:bottom w:val="none" w:sz="0" w:space="0" w:color="auto"/>
            <w:right w:val="none" w:sz="0" w:space="0" w:color="auto"/>
          </w:divBdr>
          <w:divsChild>
            <w:div w:id="277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4015">
      <w:marLeft w:val="0"/>
      <w:marRight w:val="0"/>
      <w:marTop w:val="0"/>
      <w:marBottom w:val="0"/>
      <w:divBdr>
        <w:top w:val="none" w:sz="0" w:space="0" w:color="auto"/>
        <w:left w:val="none" w:sz="0" w:space="0" w:color="auto"/>
        <w:bottom w:val="none" w:sz="0" w:space="0" w:color="auto"/>
        <w:right w:val="none" w:sz="0" w:space="0" w:color="auto"/>
      </w:divBdr>
      <w:divsChild>
        <w:div w:id="277223965">
          <w:marLeft w:val="0"/>
          <w:marRight w:val="0"/>
          <w:marTop w:val="0"/>
          <w:marBottom w:val="75"/>
          <w:divBdr>
            <w:top w:val="none" w:sz="0" w:space="0" w:color="auto"/>
            <w:left w:val="none" w:sz="0" w:space="0" w:color="auto"/>
            <w:bottom w:val="none" w:sz="0" w:space="0" w:color="auto"/>
            <w:right w:val="none" w:sz="0" w:space="0" w:color="auto"/>
          </w:divBdr>
          <w:divsChild>
            <w:div w:id="2772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4018">
      <w:marLeft w:val="0"/>
      <w:marRight w:val="0"/>
      <w:marTop w:val="0"/>
      <w:marBottom w:val="0"/>
      <w:divBdr>
        <w:top w:val="none" w:sz="0" w:space="0" w:color="auto"/>
        <w:left w:val="none" w:sz="0" w:space="0" w:color="auto"/>
        <w:bottom w:val="none" w:sz="0" w:space="0" w:color="auto"/>
        <w:right w:val="none" w:sz="0" w:space="0" w:color="auto"/>
      </w:divBdr>
      <w:divsChild>
        <w:div w:id="277224014">
          <w:marLeft w:val="0"/>
          <w:marRight w:val="0"/>
          <w:marTop w:val="0"/>
          <w:marBottom w:val="75"/>
          <w:divBdr>
            <w:top w:val="none" w:sz="0" w:space="0" w:color="auto"/>
            <w:left w:val="none" w:sz="0" w:space="0" w:color="auto"/>
            <w:bottom w:val="none" w:sz="0" w:space="0" w:color="auto"/>
            <w:right w:val="none" w:sz="0" w:space="0" w:color="auto"/>
          </w:divBdr>
          <w:divsChild>
            <w:div w:id="2772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4020">
      <w:marLeft w:val="0"/>
      <w:marRight w:val="0"/>
      <w:marTop w:val="0"/>
      <w:marBottom w:val="0"/>
      <w:divBdr>
        <w:top w:val="none" w:sz="0" w:space="0" w:color="auto"/>
        <w:left w:val="none" w:sz="0" w:space="0" w:color="auto"/>
        <w:bottom w:val="none" w:sz="0" w:space="0" w:color="auto"/>
        <w:right w:val="none" w:sz="0" w:space="0" w:color="auto"/>
      </w:divBdr>
      <w:divsChild>
        <w:div w:id="277224006">
          <w:marLeft w:val="0"/>
          <w:marRight w:val="0"/>
          <w:marTop w:val="0"/>
          <w:marBottom w:val="75"/>
          <w:divBdr>
            <w:top w:val="none" w:sz="0" w:space="0" w:color="auto"/>
            <w:left w:val="none" w:sz="0" w:space="0" w:color="auto"/>
            <w:bottom w:val="none" w:sz="0" w:space="0" w:color="auto"/>
            <w:right w:val="none" w:sz="0" w:space="0" w:color="auto"/>
          </w:divBdr>
          <w:divsChild>
            <w:div w:id="277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infoTAXbot" TargetMode="External"/><Relationship Id="rId1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9" Type="http://schemas.openxmlformats.org/officeDocument/2006/relationships/hyperlink" Target="https://t.me/infoTAXbot" TargetMode="External"/><Relationship Id="rId21" Type="http://schemas.openxmlformats.org/officeDocument/2006/relationships/hyperlink" Target="https://t.me/infoTAXbot" TargetMode="External"/><Relationship Id="rId3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7" Type="http://schemas.openxmlformats.org/officeDocument/2006/relationships/hyperlink" Target="https://t.me/infoTAXbot" TargetMode="External"/><Relationship Id="rId5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5" Type="http://schemas.openxmlformats.org/officeDocument/2006/relationships/theme" Target="theme/theme1.xml"/><Relationship Id="rId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7" Type="http://schemas.openxmlformats.org/officeDocument/2006/relationships/hyperlink" Target="https://t.me/infoTAXbot" TargetMode="External"/><Relationship Id="rId25" Type="http://schemas.openxmlformats.org/officeDocument/2006/relationships/hyperlink" Target="https://t.me/infoTAXbot" TargetMode="External"/><Relationship Id="rId33" Type="http://schemas.openxmlformats.org/officeDocument/2006/relationships/hyperlink" Target="https://t.me/infoTAXbot" TargetMode="External"/><Relationship Id="rId3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 Type="http://schemas.openxmlformats.org/officeDocument/2006/relationships/styles" Target="styles.xml"/><Relationship Id="rId1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9" Type="http://schemas.openxmlformats.org/officeDocument/2006/relationships/hyperlink" Target="https://t.me/infoTAXbot" TargetMode="External"/><Relationship Id="rId41" Type="http://schemas.openxmlformats.org/officeDocument/2006/relationships/hyperlink" Target="https://t.me/infoTAXbo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me/infoTAXbot" TargetMode="External"/><Relationship Id="rId11" Type="http://schemas.openxmlformats.org/officeDocument/2006/relationships/hyperlink" Target="https://t.me/infoTAXbot" TargetMode="External"/><Relationship Id="rId2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7" Type="http://schemas.openxmlformats.org/officeDocument/2006/relationships/hyperlink" Target="https://t.me/infoTAXbot" TargetMode="External"/><Relationship Id="rId4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5" Type="http://schemas.openxmlformats.org/officeDocument/2006/relationships/hyperlink" Target="https://t.me/infoTAXbot" TargetMode="External"/><Relationship Id="rId53" Type="http://schemas.openxmlformats.org/officeDocument/2006/relationships/hyperlink" Target="https://t.me/infoTAXbot" TargetMode="External"/><Relationship Id="rId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5" Type="http://schemas.openxmlformats.org/officeDocument/2006/relationships/hyperlink" Target="https://t.me/infoTAXbot" TargetMode="External"/><Relationship Id="rId23" Type="http://schemas.openxmlformats.org/officeDocument/2006/relationships/hyperlink" Target="https://t.me/infoTAXbot" TargetMode="External"/><Relationship Id="rId2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9" Type="http://schemas.openxmlformats.org/officeDocument/2006/relationships/hyperlink" Target="https://t.me/infoTAXbot" TargetMode="External"/><Relationship Id="rId1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9" Type="http://schemas.openxmlformats.org/officeDocument/2006/relationships/hyperlink" Target="https://t.me/infoTAXbot" TargetMode="External"/><Relationship Id="rId31" Type="http://schemas.openxmlformats.org/officeDocument/2006/relationships/hyperlink" Target="https://t.me/infoTAXbot" TargetMode="External"/><Relationship Id="rId4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 Type="http://schemas.openxmlformats.org/officeDocument/2006/relationships/webSettings" Target="webSettings.xml"/><Relationship Id="rId9" Type="http://schemas.openxmlformats.org/officeDocument/2006/relationships/hyperlink" Target="https://mof.gov.ua/storage/files/%D0%9D%D0%B0%D0%BA%D0%B0%D0%B7%20709.pdf" TargetMode="External"/><Relationship Id="rId1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7" Type="http://schemas.openxmlformats.org/officeDocument/2006/relationships/hyperlink" Target="https://t.me/infoTAXbot" TargetMode="External"/><Relationship Id="rId3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5" Type="http://schemas.openxmlformats.org/officeDocument/2006/relationships/hyperlink" Target="https://t.me/infoTAXbot" TargetMode="External"/><Relationship Id="rId43" Type="http://schemas.openxmlformats.org/officeDocument/2006/relationships/hyperlink" Target="https://t.me/infoTAXbot" TargetMode="External"/><Relationship Id="rId4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8" Type="http://schemas.openxmlformats.org/officeDocument/2006/relationships/hyperlink" Target="https://t.me/infoTAXbot" TargetMode="External"/><Relationship Id="rId51" Type="http://schemas.openxmlformats.org/officeDocument/2006/relationships/hyperlink" Target="https://t.me/infoTAXbo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13</Pages>
  <Words>12913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Криворізьке південне управління </dc:title>
  <dc:subject/>
  <dc:creator>Ольга Маренич</dc:creator>
  <cp:keywords/>
  <dc:description/>
  <cp:lastModifiedBy>Пользователь Windows</cp:lastModifiedBy>
  <cp:revision>3</cp:revision>
  <dcterms:created xsi:type="dcterms:W3CDTF">2020-12-24T07:22:00Z</dcterms:created>
  <dcterms:modified xsi:type="dcterms:W3CDTF">2020-12-24T07:34:00Z</dcterms:modified>
</cp:coreProperties>
</file>